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8D" w:rsidRPr="000D0EBA" w:rsidRDefault="00C1638D" w:rsidP="00C1638D">
      <w:pPr>
        <w:spacing w:line="480" w:lineRule="auto"/>
        <w:rPr>
          <w:rFonts w:cs="David" w:hint="cs"/>
          <w:b/>
          <w:bCs/>
          <w:szCs w:val="24"/>
          <w:rtl/>
        </w:rPr>
      </w:pPr>
      <w:r>
        <w:rPr>
          <w:rFonts w:cs="David" w:hint="cs"/>
          <w:b/>
          <w:bCs/>
          <w:szCs w:val="24"/>
          <w:rtl/>
        </w:rPr>
        <w:t>6</w:t>
      </w:r>
      <w:r w:rsidRPr="000D0EBA">
        <w:rPr>
          <w:rFonts w:cs="David" w:hint="cs"/>
          <w:b/>
          <w:bCs/>
          <w:szCs w:val="24"/>
          <w:rtl/>
        </w:rPr>
        <w:t>. רשימת פרסומים</w:t>
      </w:r>
    </w:p>
    <w:p w:rsidR="00C1638D" w:rsidRDefault="00C1638D" w:rsidP="00C1638D">
      <w:pPr>
        <w:spacing w:line="480" w:lineRule="auto"/>
        <w:rPr>
          <w:rFonts w:cs="David" w:hint="cs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ספרים:</w:t>
      </w:r>
    </w:p>
    <w:p w:rsidR="00C1638D" w:rsidRDefault="00C1638D" w:rsidP="00C1638D">
      <w:pPr>
        <w:numPr>
          <w:ilvl w:val="0"/>
          <w:numId w:val="2"/>
        </w:numPr>
        <w:bidi w:val="0"/>
        <w:spacing w:line="480" w:lineRule="auto"/>
        <w:jc w:val="both"/>
        <w:rPr>
          <w:rFonts w:cs="David"/>
          <w:sz w:val="26"/>
          <w:szCs w:val="26"/>
          <w:u w:val="single"/>
        </w:rPr>
      </w:pPr>
      <w:r w:rsidRPr="00E9127C">
        <w:rPr>
          <w:i/>
          <w:iCs/>
          <w:sz w:val="26"/>
          <w:szCs w:val="26"/>
        </w:rPr>
        <w:t>Esther: The Outer Narrative and the Hidden Reading</w:t>
      </w:r>
      <w:r w:rsidRPr="00E9127C">
        <w:rPr>
          <w:rFonts w:cs="David"/>
          <w:sz w:val="26"/>
          <w:szCs w:val="26"/>
        </w:rPr>
        <w:t xml:space="preserve"> (</w:t>
      </w:r>
      <w:proofErr w:type="spellStart"/>
      <w:r w:rsidRPr="00E9127C">
        <w:rPr>
          <w:rFonts w:cs="David"/>
          <w:sz w:val="26"/>
          <w:szCs w:val="26"/>
        </w:rPr>
        <w:t>Siphrut</w:t>
      </w:r>
      <w:proofErr w:type="spellEnd"/>
      <w:r w:rsidRPr="00E9127C">
        <w:rPr>
          <w:rFonts w:cs="David"/>
          <w:sz w:val="26"/>
          <w:szCs w:val="26"/>
        </w:rPr>
        <w:t xml:space="preserve">: Literature and Theology of the Hebrew Scripture, 6), Winona Lake, IN.: </w:t>
      </w:r>
      <w:proofErr w:type="spellStart"/>
      <w:r w:rsidRPr="00E9127C">
        <w:rPr>
          <w:rFonts w:cs="David"/>
          <w:sz w:val="26"/>
          <w:szCs w:val="26"/>
        </w:rPr>
        <w:t>Eisenbrauns</w:t>
      </w:r>
      <w:proofErr w:type="spellEnd"/>
      <w:r w:rsidRPr="00E9127C">
        <w:rPr>
          <w:rFonts w:cs="David"/>
          <w:sz w:val="26"/>
          <w:szCs w:val="26"/>
        </w:rPr>
        <w:t>, 2011.</w:t>
      </w:r>
    </w:p>
    <w:p w:rsidR="00C1638D" w:rsidRDefault="00C1638D" w:rsidP="00C1638D">
      <w:pPr>
        <w:spacing w:line="480" w:lineRule="auto"/>
        <w:jc w:val="both"/>
        <w:rPr>
          <w:rFonts w:cs="David" w:hint="cs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 xml:space="preserve">( = </w:t>
      </w:r>
      <w:r w:rsidRPr="006270DB">
        <w:rPr>
          <w:rFonts w:cs="David" w:hint="cs"/>
          <w:b/>
          <w:bCs/>
          <w:sz w:val="26"/>
          <w:szCs w:val="26"/>
          <w:rtl/>
        </w:rPr>
        <w:t>אסתר: מגילת סתרים</w:t>
      </w:r>
      <w:r>
        <w:rPr>
          <w:rFonts w:cs="David" w:hint="cs"/>
          <w:sz w:val="26"/>
          <w:szCs w:val="26"/>
          <w:rtl/>
        </w:rPr>
        <w:t>, ירושלים: הוצאת מגיד, תשע"ג)</w:t>
      </w:r>
    </w:p>
    <w:p w:rsidR="00C1638D" w:rsidRPr="006270DB" w:rsidRDefault="00C1638D" w:rsidP="00C1638D">
      <w:pPr>
        <w:numPr>
          <w:ilvl w:val="0"/>
          <w:numId w:val="2"/>
        </w:numPr>
        <w:spacing w:line="480" w:lineRule="auto"/>
        <w:jc w:val="both"/>
        <w:rPr>
          <w:rFonts w:cs="David" w:hint="cs"/>
          <w:sz w:val="26"/>
          <w:szCs w:val="26"/>
          <w:rtl/>
        </w:rPr>
      </w:pPr>
      <w:r w:rsidRPr="00C04580">
        <w:rPr>
          <w:rFonts w:cs="David" w:hint="cs"/>
          <w:b/>
          <w:bCs/>
          <w:sz w:val="26"/>
          <w:szCs w:val="26"/>
          <w:rtl/>
        </w:rPr>
        <w:t>מהגלוי אל המוצפן: על כמה מדרכי העיצוב של הסיפור המקראי</w:t>
      </w:r>
      <w:r>
        <w:rPr>
          <w:rFonts w:cs="David" w:hint="cs"/>
          <w:sz w:val="26"/>
          <w:szCs w:val="26"/>
          <w:rtl/>
        </w:rPr>
        <w:t>, הקיבוץ המאוחד</w:t>
      </w:r>
      <w:r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>והוצאת תבונות (</w:t>
      </w:r>
      <w:r>
        <w:rPr>
          <w:rFonts w:cs="David" w:hint="cs"/>
          <w:sz w:val="26"/>
          <w:szCs w:val="26"/>
          <w:rtl/>
        </w:rPr>
        <w:t>עתיד לראות אור במהלך תשע"ה</w:t>
      </w:r>
      <w:r>
        <w:rPr>
          <w:rFonts w:cs="David" w:hint="cs"/>
          <w:sz w:val="26"/>
          <w:szCs w:val="26"/>
          <w:rtl/>
        </w:rPr>
        <w:t>).</w:t>
      </w:r>
    </w:p>
    <w:p w:rsidR="00C1638D" w:rsidRPr="00E9127C" w:rsidRDefault="00C1638D" w:rsidP="00C1638D">
      <w:pPr>
        <w:bidi w:val="0"/>
        <w:spacing w:line="480" w:lineRule="auto"/>
        <w:jc w:val="both"/>
        <w:rPr>
          <w:rFonts w:cs="David"/>
          <w:sz w:val="26"/>
          <w:szCs w:val="26"/>
          <w:u w:val="single"/>
        </w:rPr>
      </w:pPr>
    </w:p>
    <w:p w:rsidR="00C1638D" w:rsidRPr="00563245" w:rsidRDefault="00C1638D" w:rsidP="00C1638D">
      <w:pPr>
        <w:spacing w:line="480" w:lineRule="auto"/>
        <w:rPr>
          <w:rFonts w:cs="David" w:hint="cs"/>
          <w:sz w:val="24"/>
          <w:szCs w:val="24"/>
          <w:u w:val="single"/>
          <w:rtl/>
        </w:rPr>
      </w:pPr>
      <w:r w:rsidRPr="00563245">
        <w:rPr>
          <w:rFonts w:cs="David" w:hint="cs"/>
          <w:sz w:val="24"/>
          <w:szCs w:val="24"/>
          <w:u w:val="single"/>
          <w:rtl/>
        </w:rPr>
        <w:t xml:space="preserve">מאמרים </w:t>
      </w:r>
      <w:r>
        <w:rPr>
          <w:rFonts w:cs="David" w:hint="cs"/>
          <w:sz w:val="24"/>
          <w:szCs w:val="24"/>
          <w:u w:val="single"/>
          <w:rtl/>
        </w:rPr>
        <w:t>בבמות אקדמיות</w:t>
      </w:r>
      <w:r w:rsidRPr="00563245">
        <w:rPr>
          <w:rFonts w:cs="David" w:hint="cs"/>
          <w:sz w:val="24"/>
          <w:szCs w:val="24"/>
          <w:u w:val="single"/>
          <w:rtl/>
        </w:rPr>
        <w:t>: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"'כפל קריאה מבני' ביחזקאל ל"ג-מ"ח", </w:t>
      </w:r>
      <w:r>
        <w:rPr>
          <w:rFonts w:cs="David" w:hint="cs"/>
          <w:b/>
          <w:bCs/>
          <w:sz w:val="24"/>
          <w:szCs w:val="24"/>
          <w:rtl/>
        </w:rPr>
        <w:t>בית מקרא</w:t>
      </w:r>
      <w:r>
        <w:rPr>
          <w:rFonts w:cs="David" w:hint="cs"/>
          <w:sz w:val="24"/>
          <w:szCs w:val="24"/>
          <w:rtl/>
        </w:rPr>
        <w:t xml:space="preserve"> מט (תשס"ד), עמ' 194</w:t>
      </w:r>
      <w:r>
        <w:rPr>
          <w:rFonts w:cs="David" w:hint="cs"/>
          <w:sz w:val="24"/>
          <w:szCs w:val="24"/>
          <w:rtl/>
        </w:rPr>
        <w:softHyphen/>
        <w:t>-224.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"השימוש בלשון דו-משמעית בסיפורי מרמה והטעיה במקרא", </w:t>
      </w:r>
      <w:r>
        <w:rPr>
          <w:rFonts w:cs="David" w:hint="cs"/>
          <w:b/>
          <w:bCs/>
          <w:sz w:val="24"/>
          <w:szCs w:val="24"/>
          <w:rtl/>
        </w:rPr>
        <w:t>תרביץ</w:t>
      </w:r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עג</w:t>
      </w:r>
      <w:proofErr w:type="spellEnd"/>
      <w:r>
        <w:rPr>
          <w:rFonts w:cs="David" w:hint="cs"/>
          <w:sz w:val="24"/>
          <w:szCs w:val="24"/>
          <w:rtl/>
        </w:rPr>
        <w:t xml:space="preserve"> (תשס"ד), עמ' 483</w:t>
      </w:r>
      <w:r>
        <w:rPr>
          <w:rFonts w:cs="David" w:hint="cs"/>
          <w:sz w:val="24"/>
          <w:szCs w:val="24"/>
          <w:rtl/>
        </w:rPr>
        <w:softHyphen/>
        <w:t>-515.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ind w:left="357" w:right="304" w:hanging="357"/>
        <w:jc w:val="both"/>
        <w:rPr>
          <w:rFonts w:cs="David" w:hint="cs"/>
          <w:sz w:val="24"/>
          <w:szCs w:val="24"/>
        </w:rPr>
      </w:pPr>
      <w:r>
        <w:rPr>
          <w:rFonts w:cs="David"/>
          <w:sz w:val="24"/>
          <w:szCs w:val="24"/>
        </w:rPr>
        <w:t>"</w:t>
      </w:r>
      <w:r>
        <w:rPr>
          <w:sz w:val="24"/>
          <w:szCs w:val="24"/>
        </w:rPr>
        <w:t xml:space="preserve">Divine Command and Human Initiative: A Literary View on Numbers 25-31", </w:t>
      </w:r>
      <w:r>
        <w:rPr>
          <w:i/>
          <w:iCs/>
          <w:sz w:val="24"/>
          <w:szCs w:val="24"/>
        </w:rPr>
        <w:t>Biblical Interpretation</w:t>
      </w:r>
      <w:r>
        <w:rPr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15 (2007), pp. 54</w:t>
      </w:r>
      <w:r>
        <w:rPr>
          <w:rFonts w:cs="David"/>
          <w:sz w:val="24"/>
          <w:szCs w:val="24"/>
        </w:rPr>
        <w:softHyphen/>
        <w:t>-79.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"האם יש מבנה ספרותי שלם לספר עמוס?", בתוך: מ' בר-אשר, נ' חכם וי' עופר (עורכים), </w:t>
      </w:r>
      <w:r w:rsidRPr="002D3E02">
        <w:rPr>
          <w:rFonts w:cs="David" w:hint="cs"/>
          <w:b/>
          <w:bCs/>
          <w:sz w:val="24"/>
          <w:szCs w:val="24"/>
          <w:rtl/>
        </w:rPr>
        <w:t>תשורה</w:t>
      </w:r>
      <w:r>
        <w:rPr>
          <w:rFonts w:cs="David" w:hint="cs"/>
          <w:sz w:val="24"/>
          <w:szCs w:val="24"/>
          <w:rtl/>
        </w:rPr>
        <w:t xml:space="preserve"> </w:t>
      </w:r>
      <w:r w:rsidRPr="002D3E02">
        <w:rPr>
          <w:rFonts w:cs="David" w:hint="cs"/>
          <w:b/>
          <w:bCs/>
          <w:sz w:val="24"/>
          <w:szCs w:val="24"/>
          <w:rtl/>
        </w:rPr>
        <w:t>לעמוס</w:t>
      </w:r>
      <w:r>
        <w:rPr>
          <w:rFonts w:cs="David" w:hint="cs"/>
          <w:b/>
          <w:bCs/>
          <w:sz w:val="24"/>
          <w:szCs w:val="24"/>
          <w:rtl/>
        </w:rPr>
        <w:t>: אסופת מחקרים בפרשנות המקרא מוגשת לעמוס חכם</w:t>
      </w:r>
      <w:r>
        <w:rPr>
          <w:rFonts w:cs="David" w:hint="cs"/>
          <w:sz w:val="24"/>
          <w:szCs w:val="24"/>
          <w:rtl/>
        </w:rPr>
        <w:t>, אלון שבות תשס"ז, עמ' 341</w:t>
      </w:r>
      <w:r>
        <w:rPr>
          <w:rFonts w:cs="David" w:hint="cs"/>
          <w:sz w:val="24"/>
          <w:szCs w:val="24"/>
          <w:rtl/>
        </w:rPr>
        <w:softHyphen/>
        <w:t>-364.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"יחסו של אברבנאל להימצאות מבע רב משמעי במקרא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פרספקטיבה ספרותית", </w:t>
      </w:r>
      <w:r>
        <w:rPr>
          <w:rFonts w:cs="David" w:hint="cs"/>
          <w:b/>
          <w:bCs/>
          <w:sz w:val="24"/>
          <w:szCs w:val="24"/>
          <w:rtl/>
        </w:rPr>
        <w:t>בית מקרא</w:t>
      </w:r>
      <w:r>
        <w:rPr>
          <w:rFonts w:cs="David" w:hint="cs"/>
          <w:sz w:val="24"/>
          <w:szCs w:val="24"/>
          <w:rtl/>
        </w:rPr>
        <w:t xml:space="preserve"> נב (תשס"ז), עמ' 126</w:t>
      </w:r>
      <w:r>
        <w:rPr>
          <w:rFonts w:cs="David" w:hint="cs"/>
          <w:sz w:val="24"/>
          <w:szCs w:val="24"/>
          <w:rtl/>
        </w:rPr>
        <w:softHyphen/>
        <w:t>-138.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ind w:left="357" w:right="304" w:hanging="357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"'Gleaning</w:t>
      </w:r>
      <w:r w:rsidRPr="00E61695">
        <w:rPr>
          <w:rFonts w:cs="David"/>
          <w:sz w:val="24"/>
          <w:szCs w:val="24"/>
        </w:rPr>
        <w:t xml:space="preserve"> among the Ears' – 'Gathering among the Sheaves':</w:t>
      </w:r>
      <w:r>
        <w:rPr>
          <w:rFonts w:cs="David"/>
          <w:sz w:val="24"/>
          <w:szCs w:val="24"/>
        </w:rPr>
        <w:t xml:space="preserve"> </w:t>
      </w:r>
      <w:r w:rsidRPr="00E61695">
        <w:rPr>
          <w:rFonts w:cs="David"/>
          <w:sz w:val="24"/>
          <w:szCs w:val="24"/>
        </w:rPr>
        <w:t>Characterizing the Image of the Supervising Boy (Ruth 2)</w:t>
      </w:r>
      <w:r>
        <w:rPr>
          <w:rFonts w:cs="David"/>
          <w:sz w:val="24"/>
          <w:szCs w:val="24"/>
        </w:rPr>
        <w:t xml:space="preserve">", </w:t>
      </w:r>
      <w:r w:rsidRPr="00E61695">
        <w:rPr>
          <w:rFonts w:cs="David"/>
          <w:i/>
          <w:iCs/>
          <w:sz w:val="24"/>
          <w:szCs w:val="24"/>
        </w:rPr>
        <w:t>JBL</w:t>
      </w:r>
      <w:r>
        <w:rPr>
          <w:rFonts w:cs="David"/>
          <w:sz w:val="24"/>
          <w:szCs w:val="24"/>
        </w:rPr>
        <w:t xml:space="preserve"> </w:t>
      </w:r>
      <w:r w:rsidRPr="003D6820">
        <w:rPr>
          <w:rFonts w:cs="David"/>
          <w:sz w:val="24"/>
          <w:szCs w:val="24"/>
        </w:rPr>
        <w:t>126 (2007)</w:t>
      </w:r>
      <w:r>
        <w:rPr>
          <w:rFonts w:cs="David"/>
          <w:sz w:val="24"/>
          <w:szCs w:val="24"/>
        </w:rPr>
        <w:t xml:space="preserve">, pp. </w:t>
      </w:r>
      <w:r w:rsidRPr="003D6820">
        <w:rPr>
          <w:rFonts w:cs="David"/>
          <w:sz w:val="24"/>
          <w:szCs w:val="24"/>
        </w:rPr>
        <w:t>703–716</w:t>
      </w:r>
      <w:r>
        <w:rPr>
          <w:rFonts w:cs="David"/>
          <w:sz w:val="24"/>
          <w:szCs w:val="24"/>
        </w:rPr>
        <w:t>.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ind w:left="357" w:right="304" w:hanging="357"/>
        <w:jc w:val="both"/>
        <w:rPr>
          <w:sz w:val="24"/>
        </w:rPr>
      </w:pPr>
      <w:r>
        <w:rPr>
          <w:sz w:val="24"/>
        </w:rPr>
        <w:t>"</w:t>
      </w:r>
      <w:r w:rsidRPr="00195E9E">
        <w:rPr>
          <w:sz w:val="24"/>
        </w:rPr>
        <w:t>The Design of the 'Dual Causality' Principle in the Narrative of Absalom's Rebellion</w:t>
      </w:r>
      <w:r>
        <w:rPr>
          <w:sz w:val="24"/>
        </w:rPr>
        <w:t xml:space="preserve">", </w:t>
      </w:r>
      <w:proofErr w:type="spellStart"/>
      <w:r w:rsidRPr="00195E9E">
        <w:rPr>
          <w:i/>
          <w:iCs/>
          <w:sz w:val="24"/>
        </w:rPr>
        <w:t>Biblica</w:t>
      </w:r>
      <w:proofErr w:type="spellEnd"/>
      <w:r>
        <w:rPr>
          <w:sz w:val="24"/>
        </w:rPr>
        <w:t xml:space="preserve"> 88 (2007), pp. 558-566. 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304" w:hanging="357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"שבירת מטבעות לשון בסיפור המקראי", </w:t>
      </w:r>
      <w:r w:rsidRPr="00727BD5">
        <w:rPr>
          <w:rFonts w:cs="David" w:hint="cs"/>
          <w:b/>
          <w:bCs/>
          <w:sz w:val="24"/>
          <w:szCs w:val="24"/>
          <w:rtl/>
        </w:rPr>
        <w:t>תרביץ</w:t>
      </w:r>
      <w:r>
        <w:rPr>
          <w:rFonts w:cs="David" w:hint="cs"/>
          <w:sz w:val="24"/>
          <w:szCs w:val="24"/>
          <w:rtl/>
        </w:rPr>
        <w:t xml:space="preserve"> עז (תשס"ח), עמ' 23</w:t>
      </w:r>
      <w:r>
        <w:rPr>
          <w:rFonts w:cs="David" w:hint="cs"/>
          <w:sz w:val="24"/>
          <w:szCs w:val="24"/>
          <w:rtl/>
        </w:rPr>
        <w:softHyphen/>
        <w:t>-44.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304" w:hanging="357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"'אכלו רעים שתו ושכרו דודים' (שה"ש ה 1)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דברי המספר", </w:t>
      </w:r>
      <w:r w:rsidRPr="008B1607">
        <w:rPr>
          <w:rFonts w:cs="David" w:hint="cs"/>
          <w:b/>
          <w:bCs/>
          <w:sz w:val="24"/>
          <w:szCs w:val="24"/>
          <w:rtl/>
        </w:rPr>
        <w:t>בית מקרא</w:t>
      </w:r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נג</w:t>
      </w:r>
      <w:proofErr w:type="spellEnd"/>
      <w:r>
        <w:rPr>
          <w:rFonts w:cs="David" w:hint="cs"/>
          <w:sz w:val="24"/>
          <w:szCs w:val="24"/>
          <w:rtl/>
        </w:rPr>
        <w:t xml:space="preserve"> (תשס"ח), עמ' 79</w:t>
      </w:r>
      <w:r>
        <w:rPr>
          <w:rFonts w:cs="David" w:hint="cs"/>
          <w:sz w:val="24"/>
          <w:szCs w:val="24"/>
          <w:rtl/>
        </w:rPr>
        <w:softHyphen/>
        <w:t>-88.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ind w:left="357" w:right="304" w:hanging="357"/>
        <w:jc w:val="both"/>
        <w:rPr>
          <w:rFonts w:cs="David"/>
          <w:sz w:val="24"/>
          <w:szCs w:val="24"/>
          <w:u w:val="single"/>
        </w:rPr>
      </w:pPr>
      <w:r>
        <w:rPr>
          <w:rFonts w:cs="David"/>
          <w:sz w:val="24"/>
          <w:szCs w:val="24"/>
        </w:rPr>
        <w:t>"'</w:t>
      </w:r>
      <w:r w:rsidRPr="00727BD5">
        <w:rPr>
          <w:rFonts w:cs="David"/>
          <w:sz w:val="24"/>
          <w:szCs w:val="24"/>
        </w:rPr>
        <w:t>Dynamic Analogies' in the Book of Esther</w:t>
      </w:r>
      <w:r>
        <w:rPr>
          <w:rFonts w:cs="David"/>
          <w:sz w:val="24"/>
          <w:szCs w:val="24"/>
        </w:rPr>
        <w:t xml:space="preserve">", </w:t>
      </w:r>
      <w:r w:rsidRPr="00B95012">
        <w:rPr>
          <w:rFonts w:cs="David"/>
          <w:i/>
          <w:iCs/>
          <w:sz w:val="24"/>
          <w:szCs w:val="24"/>
        </w:rPr>
        <w:t>VT</w:t>
      </w:r>
      <w:r>
        <w:rPr>
          <w:rFonts w:cs="David"/>
          <w:sz w:val="24"/>
          <w:szCs w:val="24"/>
        </w:rPr>
        <w:t xml:space="preserve"> </w:t>
      </w:r>
      <w:r w:rsidRPr="00B95012">
        <w:rPr>
          <w:rFonts w:cs="David"/>
          <w:sz w:val="24"/>
          <w:szCs w:val="24"/>
        </w:rPr>
        <w:t>59 (2009), pp. 394-414</w:t>
      </w:r>
      <w:r>
        <w:t>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304" w:hanging="357"/>
        <w:jc w:val="both"/>
        <w:rPr>
          <w:rFonts w:cs="David" w:hint="cs"/>
          <w:sz w:val="24"/>
          <w:szCs w:val="24"/>
        </w:rPr>
      </w:pPr>
      <w:r w:rsidRPr="001A13A9">
        <w:rPr>
          <w:rFonts w:cs="David" w:hint="cs"/>
          <w:sz w:val="24"/>
          <w:szCs w:val="24"/>
          <w:rtl/>
        </w:rPr>
        <w:t>"</w:t>
      </w:r>
      <w:proofErr w:type="spellStart"/>
      <w:r w:rsidRPr="001A13A9">
        <w:rPr>
          <w:rFonts w:cs="David" w:hint="cs"/>
          <w:sz w:val="24"/>
          <w:szCs w:val="24"/>
          <w:rtl/>
        </w:rPr>
        <w:t>מיכיהו</w:t>
      </w:r>
      <w:proofErr w:type="spellEnd"/>
      <w:r w:rsidRPr="001A13A9">
        <w:rPr>
          <w:rFonts w:cs="David" w:hint="cs"/>
          <w:sz w:val="24"/>
          <w:szCs w:val="24"/>
          <w:rtl/>
        </w:rPr>
        <w:t xml:space="preserve"> בן </w:t>
      </w:r>
      <w:proofErr w:type="spellStart"/>
      <w:r w:rsidRPr="001A13A9">
        <w:rPr>
          <w:rFonts w:cs="David" w:hint="cs"/>
          <w:sz w:val="24"/>
          <w:szCs w:val="24"/>
          <w:rtl/>
        </w:rPr>
        <w:t>ימלה</w:t>
      </w:r>
      <w:proofErr w:type="spellEnd"/>
      <w:r w:rsidRPr="001A13A9">
        <w:rPr>
          <w:rFonts w:cs="David" w:hint="cs"/>
          <w:sz w:val="24"/>
          <w:szCs w:val="24"/>
          <w:rtl/>
        </w:rPr>
        <w:t xml:space="preserve"> ומות אחאב </w:t>
      </w:r>
      <w:r w:rsidRPr="001A13A9">
        <w:rPr>
          <w:rFonts w:cs="David"/>
          <w:sz w:val="24"/>
          <w:szCs w:val="24"/>
          <w:rtl/>
        </w:rPr>
        <w:t>–</w:t>
      </w:r>
      <w:r w:rsidRPr="001A13A9">
        <w:rPr>
          <w:rFonts w:cs="David" w:hint="cs"/>
          <w:sz w:val="24"/>
          <w:szCs w:val="24"/>
          <w:rtl/>
        </w:rPr>
        <w:t xml:space="preserve"> עריכה מתערבת", </w:t>
      </w:r>
      <w:r w:rsidRPr="001A13A9">
        <w:rPr>
          <w:rFonts w:cs="David" w:hint="cs"/>
          <w:b/>
          <w:bCs/>
          <w:sz w:val="24"/>
          <w:szCs w:val="24"/>
          <w:rtl/>
        </w:rPr>
        <w:t>עיוני מקרא ופרשנות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771FEA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(תשע"א), עמ' </w:t>
      </w:r>
      <w:r w:rsidRPr="001A13A9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157</w:t>
      </w:r>
      <w:r>
        <w:rPr>
          <w:rFonts w:cs="David" w:hint="cs"/>
          <w:sz w:val="24"/>
          <w:szCs w:val="24"/>
          <w:rtl/>
        </w:rPr>
        <w:softHyphen/>
        <w:t>-178.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304" w:hanging="357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 xml:space="preserve">"החזרה בסיפור המקראי כמצע להטמעת מבע רב משמעי", בתוך: ש' </w:t>
      </w:r>
      <w:proofErr w:type="spellStart"/>
      <w:r>
        <w:rPr>
          <w:rFonts w:cs="David" w:hint="cs"/>
          <w:sz w:val="24"/>
          <w:szCs w:val="24"/>
          <w:rtl/>
        </w:rPr>
        <w:t>ויגודה</w:t>
      </w:r>
      <w:proofErr w:type="spellEnd"/>
      <w:r>
        <w:rPr>
          <w:rFonts w:cs="David" w:hint="cs"/>
          <w:sz w:val="24"/>
          <w:szCs w:val="24"/>
          <w:rtl/>
        </w:rPr>
        <w:t xml:space="preserve"> (עורך), ספר הכנס '</w:t>
      </w:r>
      <w:r w:rsidRPr="006B1AC9">
        <w:rPr>
          <w:rFonts w:cs="David" w:hint="cs"/>
          <w:sz w:val="24"/>
          <w:szCs w:val="24"/>
          <w:rtl/>
        </w:rPr>
        <w:t>תלמוד תורה: לימוד, פרשנות ומחקר</w:t>
      </w:r>
      <w:r w:rsidRPr="00FE333F">
        <w:rPr>
          <w:rFonts w:cs="David" w:hint="cs"/>
          <w:b/>
          <w:bCs/>
          <w:sz w:val="24"/>
          <w:szCs w:val="24"/>
          <w:rtl/>
        </w:rPr>
        <w:t>'</w:t>
      </w:r>
      <w:r>
        <w:rPr>
          <w:rFonts w:cs="David" w:hint="cs"/>
          <w:sz w:val="24"/>
          <w:szCs w:val="24"/>
          <w:rtl/>
        </w:rPr>
        <w:t xml:space="preserve">, מוסד </w:t>
      </w:r>
      <w:proofErr w:type="spellStart"/>
      <w:r>
        <w:rPr>
          <w:rFonts w:cs="David" w:hint="cs"/>
          <w:sz w:val="24"/>
          <w:szCs w:val="24"/>
          <w:rtl/>
        </w:rPr>
        <w:t>ון</w:t>
      </w:r>
      <w:proofErr w:type="spellEnd"/>
      <w:r>
        <w:rPr>
          <w:rFonts w:cs="David" w:hint="cs"/>
          <w:sz w:val="24"/>
          <w:szCs w:val="24"/>
          <w:rtl/>
        </w:rPr>
        <w:t>-ליר (התקבל לפרסום).</w:t>
      </w:r>
    </w:p>
    <w:p w:rsidR="00C1638D" w:rsidRPr="00E20F93" w:rsidRDefault="00C1638D" w:rsidP="00C1638D">
      <w:pPr>
        <w:numPr>
          <w:ilvl w:val="0"/>
          <w:numId w:val="1"/>
        </w:numPr>
        <w:spacing w:line="480" w:lineRule="auto"/>
        <w:ind w:left="357" w:right="304" w:hanging="357"/>
        <w:jc w:val="both"/>
        <w:rPr>
          <w:rFonts w:cs="David" w:hint="cs"/>
          <w:sz w:val="24"/>
          <w:szCs w:val="24"/>
        </w:rPr>
      </w:pPr>
      <w:r w:rsidRPr="00575FD5">
        <w:rPr>
          <w:rFonts w:cs="David" w:hint="cs"/>
          <w:sz w:val="24"/>
          <w:szCs w:val="24"/>
          <w:rtl/>
        </w:rPr>
        <w:t>"עוד על המבנה</w:t>
      </w:r>
      <w:r>
        <w:rPr>
          <w:rFonts w:cs="David" w:hint="cs"/>
          <w:sz w:val="24"/>
          <w:szCs w:val="24"/>
          <w:rtl/>
        </w:rPr>
        <w:t xml:space="preserve"> הספרותי של סיפור גן עדן (ב 4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ג 24)", </w:t>
      </w:r>
      <w:r w:rsidRPr="00575FD5">
        <w:rPr>
          <w:rFonts w:cs="David" w:hint="cs"/>
          <w:b/>
          <w:bCs/>
          <w:sz w:val="24"/>
          <w:szCs w:val="24"/>
          <w:rtl/>
        </w:rPr>
        <w:t>בית מקרא</w:t>
      </w:r>
      <w:r>
        <w:rPr>
          <w:rFonts w:cs="David" w:hint="cs"/>
          <w:sz w:val="24"/>
          <w:szCs w:val="24"/>
          <w:rtl/>
        </w:rPr>
        <w:t xml:space="preserve"> נו (תשע"א), עמ' 5</w:t>
      </w:r>
      <w:r>
        <w:rPr>
          <w:rFonts w:cs="David" w:hint="cs"/>
          <w:sz w:val="24"/>
          <w:szCs w:val="24"/>
          <w:rtl/>
        </w:rPr>
        <w:softHyphen/>
        <w:t>-39.</w:t>
      </w:r>
      <w:r w:rsidRPr="00575FD5">
        <w:rPr>
          <w:rFonts w:cs="David" w:hint="cs"/>
          <w:sz w:val="24"/>
          <w:szCs w:val="24"/>
          <w:rtl/>
        </w:rPr>
        <w:t xml:space="preserve"> 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jc w:val="both"/>
        <w:rPr>
          <w:rFonts w:cs="David"/>
          <w:sz w:val="24"/>
          <w:szCs w:val="24"/>
        </w:rPr>
      </w:pPr>
      <w:r w:rsidRPr="00E20F93">
        <w:rPr>
          <w:rFonts w:cs="David"/>
          <w:sz w:val="24"/>
          <w:szCs w:val="24"/>
        </w:rPr>
        <w:t xml:space="preserve">"The Vanishing Character in Biblical Narrative: The Role of </w:t>
      </w:r>
      <w:proofErr w:type="spellStart"/>
      <w:r w:rsidRPr="00E20F93">
        <w:rPr>
          <w:rFonts w:cs="David"/>
          <w:sz w:val="24"/>
          <w:szCs w:val="24"/>
        </w:rPr>
        <w:t>Hathach</w:t>
      </w:r>
      <w:proofErr w:type="spellEnd"/>
      <w:r w:rsidRPr="00E20F93">
        <w:rPr>
          <w:rFonts w:cs="David"/>
          <w:sz w:val="24"/>
          <w:szCs w:val="24"/>
        </w:rPr>
        <w:t xml:space="preserve"> in Esther 4"</w:t>
      </w:r>
      <w:r>
        <w:rPr>
          <w:rFonts w:cs="David"/>
          <w:sz w:val="24"/>
          <w:szCs w:val="24"/>
        </w:rPr>
        <w:t xml:space="preserve">, </w:t>
      </w:r>
      <w:r w:rsidRPr="00285A5C">
        <w:rPr>
          <w:rFonts w:cs="David"/>
          <w:i/>
          <w:iCs/>
          <w:sz w:val="24"/>
          <w:szCs w:val="24"/>
        </w:rPr>
        <w:t>VT</w:t>
      </w:r>
      <w:r>
        <w:rPr>
          <w:rFonts w:cs="David"/>
          <w:sz w:val="24"/>
          <w:szCs w:val="24"/>
        </w:rPr>
        <w:t xml:space="preserve"> 62 (2012), pp. 561-571.</w:t>
      </w:r>
    </w:p>
    <w:p w:rsidR="00C1638D" w:rsidRPr="00C42E02" w:rsidRDefault="00C1638D" w:rsidP="00C1638D">
      <w:pPr>
        <w:numPr>
          <w:ilvl w:val="0"/>
          <w:numId w:val="1"/>
        </w:numPr>
        <w:spacing w:line="480" w:lineRule="auto"/>
        <w:jc w:val="both"/>
        <w:rPr>
          <w:rFonts w:cs="David" w:hint="cs"/>
          <w:sz w:val="24"/>
          <w:szCs w:val="24"/>
        </w:rPr>
      </w:pPr>
      <w:r w:rsidRPr="00C42E02">
        <w:rPr>
          <w:rFonts w:cs="David" w:hint="cs"/>
          <w:sz w:val="24"/>
          <w:szCs w:val="24"/>
          <w:rtl/>
        </w:rPr>
        <w:t xml:space="preserve">"שוטרי בני ישראל </w:t>
      </w:r>
      <w:r w:rsidRPr="00C42E02">
        <w:rPr>
          <w:rFonts w:cs="David"/>
          <w:sz w:val="24"/>
          <w:szCs w:val="24"/>
          <w:rtl/>
        </w:rPr>
        <w:t>–</w:t>
      </w:r>
      <w:r w:rsidRPr="00C42E02">
        <w:rPr>
          <w:rFonts w:cs="David" w:hint="cs"/>
          <w:sz w:val="24"/>
          <w:szCs w:val="24"/>
          <w:rtl/>
        </w:rPr>
        <w:t xml:space="preserve"> ממכים למוכים", ב</w:t>
      </w:r>
      <w:r w:rsidRPr="00C42E02">
        <w:rPr>
          <w:rFonts w:cs="David"/>
          <w:sz w:val="24"/>
          <w:szCs w:val="24"/>
          <w:rtl/>
        </w:rPr>
        <w:t xml:space="preserve">תוך: מ' </w:t>
      </w:r>
      <w:proofErr w:type="spellStart"/>
      <w:r w:rsidRPr="00C42E02">
        <w:rPr>
          <w:rFonts w:cs="David"/>
          <w:sz w:val="24"/>
          <w:szCs w:val="24"/>
          <w:rtl/>
        </w:rPr>
        <w:t>אביעוז</w:t>
      </w:r>
      <w:proofErr w:type="spellEnd"/>
      <w:r w:rsidRPr="00C42E02">
        <w:rPr>
          <w:rFonts w:cs="David"/>
          <w:sz w:val="24"/>
          <w:szCs w:val="24"/>
          <w:rtl/>
        </w:rPr>
        <w:t xml:space="preserve">, י' שמש וא' עסיס (עורכים), </w:t>
      </w:r>
      <w:r w:rsidRPr="00C42E02">
        <w:rPr>
          <w:rFonts w:cs="David"/>
          <w:b/>
          <w:bCs/>
          <w:sz w:val="24"/>
          <w:szCs w:val="24"/>
          <w:rtl/>
        </w:rPr>
        <w:t>זר רימונים</w:t>
      </w:r>
      <w:r w:rsidRPr="00C42E02">
        <w:rPr>
          <w:rFonts w:cs="David" w:hint="cs"/>
          <w:b/>
          <w:bCs/>
          <w:sz w:val="24"/>
          <w:szCs w:val="24"/>
          <w:rtl/>
        </w:rPr>
        <w:t xml:space="preserve">: </w:t>
      </w:r>
      <w:r w:rsidRPr="00C42E02">
        <w:rPr>
          <w:rFonts w:cs="David"/>
          <w:b/>
          <w:bCs/>
          <w:sz w:val="24"/>
          <w:szCs w:val="24"/>
          <w:rtl/>
        </w:rPr>
        <w:t>מחקרים במקרא ובפרשנותו</w:t>
      </w:r>
      <w:r w:rsidRPr="00C42E02">
        <w:rPr>
          <w:rFonts w:cs="David" w:hint="cs"/>
          <w:sz w:val="24"/>
          <w:szCs w:val="24"/>
          <w:rtl/>
        </w:rPr>
        <w:t xml:space="preserve">, </w:t>
      </w:r>
      <w:r w:rsidRPr="00C42E02">
        <w:rPr>
          <w:rFonts w:cs="David"/>
          <w:sz w:val="24"/>
          <w:szCs w:val="24"/>
          <w:rtl/>
        </w:rPr>
        <w:t>מוקדשים לפרופ' רימון כשר, אטלנטה 2013,</w:t>
      </w:r>
      <w:r>
        <w:rPr>
          <w:rFonts w:cs="David" w:hint="cs"/>
          <w:sz w:val="24"/>
          <w:szCs w:val="24"/>
          <w:rtl/>
        </w:rPr>
        <w:t xml:space="preserve"> עמ</w:t>
      </w:r>
      <w:r w:rsidRPr="00C42E02">
        <w:rPr>
          <w:rFonts w:cs="David" w:hint="cs"/>
          <w:sz w:val="24"/>
          <w:szCs w:val="24"/>
          <w:rtl/>
        </w:rPr>
        <w:t>' 1</w:t>
      </w:r>
      <w:r w:rsidRPr="00C42E02">
        <w:rPr>
          <w:rFonts w:cs="David" w:hint="cs"/>
          <w:sz w:val="24"/>
          <w:szCs w:val="24"/>
          <w:rtl/>
        </w:rPr>
        <w:softHyphen/>
        <w:t>-19.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jc w:val="both"/>
        <w:rPr>
          <w:rFonts w:cs="David"/>
          <w:sz w:val="24"/>
          <w:szCs w:val="24"/>
        </w:rPr>
      </w:pPr>
      <w:r w:rsidRPr="00D26B84">
        <w:rPr>
          <w:rFonts w:cs="David"/>
          <w:sz w:val="24"/>
          <w:szCs w:val="24"/>
        </w:rPr>
        <w:t>"The Story of Joseph's Brothers in Light of the "Therapeutic Narrative" Theory"</w:t>
      </w:r>
      <w:r>
        <w:rPr>
          <w:rFonts w:cs="David"/>
          <w:sz w:val="24"/>
          <w:szCs w:val="24"/>
        </w:rPr>
        <w:t xml:space="preserve">, </w:t>
      </w:r>
      <w:r w:rsidRPr="00D0480F">
        <w:rPr>
          <w:rFonts w:cs="David"/>
          <w:i/>
          <w:iCs/>
          <w:sz w:val="24"/>
          <w:szCs w:val="24"/>
        </w:rPr>
        <w:t>Biblical Interpretation</w:t>
      </w:r>
      <w:r>
        <w:rPr>
          <w:rFonts w:cs="David"/>
          <w:sz w:val="24"/>
          <w:szCs w:val="24"/>
        </w:rPr>
        <w:t xml:space="preserve"> 21 (2013), pp. </w:t>
      </w:r>
      <w:r w:rsidRPr="009505E8">
        <w:rPr>
          <w:rFonts w:cs="David"/>
        </w:rPr>
        <w:t>171-195</w:t>
      </w:r>
      <w:r>
        <w:rPr>
          <w:rFonts w:cs="David"/>
        </w:rPr>
        <w:t>.</w:t>
      </w:r>
      <w:r>
        <w:rPr>
          <w:rFonts w:cs="David"/>
          <w:sz w:val="24"/>
          <w:szCs w:val="24"/>
        </w:rPr>
        <w:t xml:space="preserve"> 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"</w:t>
      </w:r>
      <w:r w:rsidRPr="009719E3">
        <w:rPr>
          <w:rFonts w:cs="David"/>
          <w:sz w:val="24"/>
          <w:szCs w:val="24"/>
        </w:rPr>
        <w:t>Associative Meanings in the Character Evaluation of Lot’s Daughters</w:t>
      </w:r>
      <w:r>
        <w:rPr>
          <w:rFonts w:cs="David"/>
          <w:sz w:val="24"/>
          <w:szCs w:val="24"/>
        </w:rPr>
        <w:t xml:space="preserve">", </w:t>
      </w:r>
      <w:r w:rsidRPr="009719E3">
        <w:rPr>
          <w:rFonts w:cs="David"/>
          <w:i/>
          <w:iCs/>
          <w:sz w:val="24"/>
          <w:szCs w:val="24"/>
        </w:rPr>
        <w:t>CBQ</w:t>
      </w:r>
      <w:r>
        <w:rPr>
          <w:rFonts w:cs="David"/>
          <w:sz w:val="24"/>
          <w:szCs w:val="24"/>
        </w:rPr>
        <w:t xml:space="preserve"> 76 (2014), pp. 40-57.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jc w:val="both"/>
        <w:rPr>
          <w:rFonts w:cs="David"/>
          <w:sz w:val="24"/>
          <w:szCs w:val="24"/>
        </w:rPr>
      </w:pPr>
      <w:r w:rsidRPr="00C42E02">
        <w:rPr>
          <w:rFonts w:cs="David"/>
          <w:sz w:val="24"/>
          <w:szCs w:val="24"/>
        </w:rPr>
        <w:t>"The Structural Paradigm of the Ten Plagues Narrative and the Hardening of Pharaoh's Heart"</w:t>
      </w:r>
      <w:r>
        <w:rPr>
          <w:rFonts w:cs="David"/>
          <w:sz w:val="24"/>
          <w:szCs w:val="24"/>
        </w:rPr>
        <w:t xml:space="preserve">, </w:t>
      </w:r>
      <w:r w:rsidRPr="00C42E02">
        <w:rPr>
          <w:rFonts w:cs="David"/>
          <w:i/>
          <w:iCs/>
          <w:sz w:val="24"/>
          <w:szCs w:val="24"/>
        </w:rPr>
        <w:t>VT</w:t>
      </w:r>
      <w:r>
        <w:rPr>
          <w:rFonts w:cs="David"/>
          <w:sz w:val="24"/>
          <w:szCs w:val="24"/>
        </w:rPr>
        <w:t xml:space="preserve"> </w:t>
      </w:r>
      <w:r w:rsidRPr="00A7547F">
        <w:rPr>
          <w:rFonts w:cs="David"/>
          <w:sz w:val="24"/>
          <w:szCs w:val="24"/>
        </w:rPr>
        <w:t>64 (2014)</w:t>
      </w:r>
      <w:r>
        <w:rPr>
          <w:rFonts w:cs="David"/>
          <w:sz w:val="24"/>
          <w:szCs w:val="24"/>
        </w:rPr>
        <w:t>, pp.</w:t>
      </w:r>
      <w:r w:rsidRPr="00A7547F">
        <w:rPr>
          <w:rFonts w:cs="David"/>
          <w:sz w:val="24"/>
          <w:szCs w:val="24"/>
        </w:rPr>
        <w:t xml:space="preserve"> 588-610</w:t>
      </w:r>
      <w:r>
        <w:rPr>
          <w:rFonts w:cs="David"/>
          <w:sz w:val="24"/>
          <w:szCs w:val="24"/>
        </w:rPr>
        <w:t>.</w:t>
      </w:r>
    </w:p>
    <w:p w:rsidR="00D51D48" w:rsidRPr="00E20F93" w:rsidRDefault="00D51D48" w:rsidP="00D51D48">
      <w:pPr>
        <w:numPr>
          <w:ilvl w:val="0"/>
          <w:numId w:val="1"/>
        </w:numPr>
        <w:bidi w:val="0"/>
        <w:spacing w:line="480" w:lineRule="auto"/>
        <w:jc w:val="both"/>
        <w:rPr>
          <w:rFonts w:cs="David" w:hint="cs"/>
          <w:sz w:val="24"/>
          <w:szCs w:val="24"/>
        </w:rPr>
      </w:pPr>
      <w:r w:rsidRPr="00A02E0E">
        <w:rPr>
          <w:rFonts w:cs="David"/>
          <w:sz w:val="24"/>
          <w:szCs w:val="24"/>
        </w:rPr>
        <w:t xml:space="preserve">"'Like Arrows in the Hand of the Warrior, So Are Youths': Reading Ishmael’s Expulsion in Genesis 21 in light of Hermann </w:t>
      </w:r>
      <w:proofErr w:type="spellStart"/>
      <w:r w:rsidRPr="00A02E0E">
        <w:rPr>
          <w:rFonts w:cs="David"/>
          <w:sz w:val="24"/>
          <w:szCs w:val="24"/>
        </w:rPr>
        <w:t>Hesse’s</w:t>
      </w:r>
      <w:proofErr w:type="spellEnd"/>
      <w:r w:rsidRPr="00A02E0E">
        <w:rPr>
          <w:rFonts w:cs="David"/>
          <w:sz w:val="24"/>
          <w:szCs w:val="24"/>
        </w:rPr>
        <w:t xml:space="preserve"> Siddhartha", </w:t>
      </w:r>
      <w:r w:rsidRPr="00A02E0E">
        <w:rPr>
          <w:rFonts w:cs="David"/>
          <w:i/>
          <w:iCs/>
          <w:sz w:val="24"/>
          <w:szCs w:val="24"/>
        </w:rPr>
        <w:t>Hebrew Studies</w:t>
      </w:r>
      <w:r>
        <w:rPr>
          <w:rFonts w:cs="David"/>
          <w:sz w:val="24"/>
          <w:szCs w:val="24"/>
        </w:rPr>
        <w:t xml:space="preserve"> (2015).</w:t>
      </w:r>
    </w:p>
    <w:p w:rsidR="00C1638D" w:rsidRDefault="00C1638D" w:rsidP="00C1638D">
      <w:pPr>
        <w:numPr>
          <w:ilvl w:val="0"/>
          <w:numId w:val="1"/>
        </w:numPr>
        <w:bidi w:val="0"/>
        <w:spacing w:line="480" w:lineRule="auto"/>
        <w:jc w:val="both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"</w:t>
      </w:r>
      <w:proofErr w:type="spellStart"/>
      <w:r w:rsidRPr="00D26D9F">
        <w:rPr>
          <w:rFonts w:cs="David"/>
          <w:sz w:val="24"/>
          <w:szCs w:val="24"/>
        </w:rPr>
        <w:t>Radak's</w:t>
      </w:r>
      <w:proofErr w:type="spellEnd"/>
      <w:r w:rsidRPr="00D26D9F">
        <w:rPr>
          <w:rFonts w:cs="David"/>
          <w:sz w:val="24"/>
          <w:szCs w:val="24"/>
        </w:rPr>
        <w:t xml:space="preserve"> Approach to Ambiguity in the Bible</w:t>
      </w:r>
      <w:r>
        <w:rPr>
          <w:rFonts w:cs="David"/>
          <w:sz w:val="24"/>
          <w:szCs w:val="24"/>
        </w:rPr>
        <w:t xml:space="preserve">", in: </w:t>
      </w:r>
      <w:r w:rsidRPr="00084122">
        <w:rPr>
          <w:rFonts w:cs="David"/>
          <w:sz w:val="24"/>
          <w:szCs w:val="24"/>
        </w:rPr>
        <w:t>Ed</w:t>
      </w:r>
      <w:r>
        <w:rPr>
          <w:rFonts w:cs="David"/>
          <w:sz w:val="24"/>
          <w:szCs w:val="24"/>
        </w:rPr>
        <w:t>.</w:t>
      </w:r>
      <w:r w:rsidRPr="00084122">
        <w:rPr>
          <w:rFonts w:cs="David"/>
          <w:sz w:val="24"/>
          <w:szCs w:val="24"/>
        </w:rPr>
        <w:t xml:space="preserve"> </w:t>
      </w:r>
      <w:proofErr w:type="spellStart"/>
      <w:r w:rsidRPr="00084122">
        <w:rPr>
          <w:rFonts w:cs="David"/>
          <w:sz w:val="24"/>
          <w:szCs w:val="24"/>
        </w:rPr>
        <w:t>Robberechts</w:t>
      </w:r>
      <w:proofErr w:type="spellEnd"/>
      <w:r>
        <w:rPr>
          <w:rFonts w:cs="David"/>
          <w:sz w:val="24"/>
          <w:szCs w:val="24"/>
        </w:rPr>
        <w:t xml:space="preserve"> (ed.), </w:t>
      </w:r>
      <w:r w:rsidRPr="00084122">
        <w:rPr>
          <w:rFonts w:cs="David"/>
          <w:i/>
          <w:iCs/>
          <w:sz w:val="24"/>
          <w:szCs w:val="24"/>
        </w:rPr>
        <w:t>Jews in Marseilles</w:t>
      </w:r>
      <w:r>
        <w:rPr>
          <w:rFonts w:cs="David"/>
          <w:sz w:val="24"/>
          <w:szCs w:val="24"/>
        </w:rPr>
        <w:t xml:space="preserve">, </w:t>
      </w:r>
      <w:r w:rsidRPr="00084122">
        <w:rPr>
          <w:rFonts w:cs="David"/>
          <w:sz w:val="24"/>
          <w:szCs w:val="24"/>
        </w:rPr>
        <w:t xml:space="preserve">Aix-Marseille </w:t>
      </w:r>
      <w:proofErr w:type="spellStart"/>
      <w:r w:rsidRPr="00084122">
        <w:rPr>
          <w:rFonts w:cs="David"/>
          <w:sz w:val="24"/>
          <w:szCs w:val="24"/>
        </w:rPr>
        <w:t>Université</w:t>
      </w:r>
      <w:proofErr w:type="spellEnd"/>
      <w:r>
        <w:rPr>
          <w:rFonts w:cs="David"/>
          <w:sz w:val="24"/>
          <w:szCs w:val="24"/>
        </w:rPr>
        <w:t xml:space="preserve"> (forthcoming).</w:t>
      </w:r>
    </w:p>
    <w:p w:rsidR="00C1638D" w:rsidRPr="00467053" w:rsidRDefault="00C1638D" w:rsidP="00C1638D">
      <w:pPr>
        <w:spacing w:line="480" w:lineRule="auto"/>
        <w:ind w:right="304"/>
        <w:jc w:val="both"/>
        <w:rPr>
          <w:rFonts w:cs="David" w:hint="cs"/>
          <w:sz w:val="24"/>
          <w:szCs w:val="24"/>
          <w:rtl/>
        </w:rPr>
      </w:pPr>
    </w:p>
    <w:p w:rsidR="00C1638D" w:rsidRPr="00563245" w:rsidRDefault="00C1638D" w:rsidP="00C1638D">
      <w:pPr>
        <w:spacing w:line="480" w:lineRule="auto"/>
        <w:ind w:right="304"/>
        <w:jc w:val="both"/>
        <w:rPr>
          <w:rFonts w:cs="David" w:hint="cs"/>
          <w:sz w:val="24"/>
          <w:szCs w:val="24"/>
          <w:u w:val="single"/>
          <w:rtl/>
        </w:rPr>
      </w:pPr>
      <w:r w:rsidRPr="00563245">
        <w:rPr>
          <w:rFonts w:cs="David" w:hint="cs"/>
          <w:sz w:val="24"/>
          <w:szCs w:val="24"/>
          <w:u w:val="single"/>
          <w:rtl/>
        </w:rPr>
        <w:t xml:space="preserve">מאמרים </w:t>
      </w:r>
      <w:r>
        <w:rPr>
          <w:rFonts w:cs="David" w:hint="cs"/>
          <w:sz w:val="24"/>
          <w:szCs w:val="24"/>
          <w:u w:val="single"/>
          <w:rtl/>
        </w:rPr>
        <w:t>בבמות אחרות</w:t>
      </w:r>
      <w:r w:rsidRPr="00563245">
        <w:rPr>
          <w:rFonts w:cs="David" w:hint="cs"/>
          <w:sz w:val="24"/>
          <w:szCs w:val="24"/>
          <w:u w:val="single"/>
          <w:rtl/>
        </w:rPr>
        <w:t>: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המסרים שבסיפורי שליחות יוסף לאחיו ושליחות דוד אל</w:t>
      </w:r>
      <w:bookmarkStart w:id="0" w:name="_GoBack"/>
      <w:bookmarkEnd w:id="0"/>
      <w:r w:rsidRPr="00275952">
        <w:rPr>
          <w:rFonts w:cs="David"/>
          <w:sz w:val="24"/>
          <w:szCs w:val="24"/>
          <w:rtl/>
        </w:rPr>
        <w:t xml:space="preserve"> אחיו אל המחנה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/>
          <w:b/>
          <w:bCs/>
          <w:sz w:val="24"/>
          <w:szCs w:val="24"/>
          <w:rtl/>
        </w:rPr>
        <w:t>מגדים</w:t>
      </w:r>
      <w:r w:rsidRPr="00275952">
        <w:rPr>
          <w:rFonts w:cs="David"/>
          <w:sz w:val="24"/>
          <w:szCs w:val="24"/>
          <w:rtl/>
        </w:rPr>
        <w:t xml:space="preserve"> כד (תשנ"ה), עמ'</w:t>
      </w:r>
      <w:r>
        <w:rPr>
          <w:rFonts w:cs="David" w:hint="cs"/>
          <w:sz w:val="24"/>
          <w:szCs w:val="24"/>
          <w:rtl/>
        </w:rPr>
        <w:t xml:space="preserve"> 9</w:t>
      </w:r>
      <w:r>
        <w:rPr>
          <w:rFonts w:cs="David" w:hint="cs"/>
          <w:sz w:val="24"/>
          <w:szCs w:val="24"/>
          <w:rtl/>
        </w:rPr>
        <w:softHyphen/>
      </w:r>
      <w:r>
        <w:rPr>
          <w:rFonts w:cs="David" w:hint="eastAsia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20</w:t>
      </w:r>
      <w:r w:rsidRPr="00275952">
        <w:rPr>
          <w:rFonts w:cs="David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'וירא את המקום מרחוק' - עקידת יצחק כסיפור רקע לברית </w:t>
      </w:r>
      <w:proofErr w:type="spellStart"/>
      <w:r w:rsidRPr="00275952">
        <w:rPr>
          <w:rFonts w:cs="David"/>
          <w:sz w:val="24"/>
          <w:szCs w:val="24"/>
          <w:rtl/>
        </w:rPr>
        <w:t>האגנות</w:t>
      </w:r>
      <w:proofErr w:type="spellEnd"/>
      <w:r w:rsidRPr="00275952">
        <w:rPr>
          <w:rFonts w:cs="David"/>
          <w:sz w:val="24"/>
          <w:szCs w:val="24"/>
          <w:rtl/>
        </w:rPr>
        <w:t xml:space="preserve"> ולסיפורים נוספים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/>
          <w:b/>
          <w:bCs/>
          <w:sz w:val="24"/>
          <w:szCs w:val="24"/>
          <w:rtl/>
        </w:rPr>
        <w:t>מגדים</w:t>
      </w:r>
      <w:r w:rsidRPr="00275952">
        <w:rPr>
          <w:rFonts w:cs="David"/>
          <w:sz w:val="24"/>
          <w:szCs w:val="24"/>
          <w:rtl/>
        </w:rPr>
        <w:t xml:space="preserve"> כה (תשנ"ו), עמ' </w:t>
      </w:r>
      <w:r>
        <w:rPr>
          <w:rFonts w:cs="David" w:hint="cs"/>
          <w:sz w:val="24"/>
          <w:szCs w:val="24"/>
          <w:rtl/>
        </w:rPr>
        <w:t>79</w:t>
      </w:r>
      <w:r>
        <w:rPr>
          <w:rFonts w:cs="David" w:hint="eastAsia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>90</w:t>
      </w:r>
      <w:r w:rsidRPr="00275952">
        <w:rPr>
          <w:rFonts w:cs="David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'את אשר </w:t>
      </w:r>
      <w:proofErr w:type="spellStart"/>
      <w:r w:rsidRPr="00275952">
        <w:rPr>
          <w:rFonts w:cs="David"/>
          <w:sz w:val="24"/>
          <w:szCs w:val="24"/>
          <w:rtl/>
        </w:rPr>
        <w:t>תידור</w:t>
      </w:r>
      <w:proofErr w:type="spellEnd"/>
      <w:r w:rsidRPr="00275952">
        <w:rPr>
          <w:rFonts w:cs="David"/>
          <w:sz w:val="24"/>
          <w:szCs w:val="24"/>
          <w:rtl/>
        </w:rPr>
        <w:t xml:space="preserve"> שלם' - למשמעות מאבק יעקב והמלאך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/>
          <w:b/>
          <w:bCs/>
          <w:sz w:val="24"/>
          <w:szCs w:val="24"/>
          <w:rtl/>
        </w:rPr>
        <w:t>מגדים</w:t>
      </w:r>
      <w:r w:rsidRPr="00275952">
        <w:rPr>
          <w:rFonts w:cs="David"/>
          <w:sz w:val="24"/>
          <w:szCs w:val="24"/>
          <w:rtl/>
        </w:rPr>
        <w:t xml:space="preserve"> </w:t>
      </w:r>
      <w:proofErr w:type="spellStart"/>
      <w:r w:rsidRPr="00275952">
        <w:rPr>
          <w:rFonts w:cs="David"/>
          <w:sz w:val="24"/>
          <w:szCs w:val="24"/>
          <w:rtl/>
        </w:rPr>
        <w:t>כו</w:t>
      </w:r>
      <w:proofErr w:type="spellEnd"/>
      <w:r w:rsidRPr="00275952">
        <w:rPr>
          <w:rFonts w:cs="David"/>
          <w:sz w:val="24"/>
          <w:szCs w:val="24"/>
          <w:rtl/>
        </w:rPr>
        <w:t xml:space="preserve"> (תשנ"ו), עמ'</w:t>
      </w:r>
      <w:r>
        <w:rPr>
          <w:rFonts w:cs="David" w:hint="cs"/>
          <w:sz w:val="24"/>
          <w:szCs w:val="24"/>
          <w:rtl/>
        </w:rPr>
        <w:t xml:space="preserve"> 9–26.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בין משתה לצום במגילת אסתר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 w:hint="cs"/>
          <w:sz w:val="24"/>
          <w:szCs w:val="24"/>
          <w:rtl/>
        </w:rPr>
        <w:t xml:space="preserve">בתוך: א' בזק (עורך), </w:t>
      </w:r>
      <w:r w:rsidRPr="00275952">
        <w:rPr>
          <w:rFonts w:cs="David"/>
          <w:b/>
          <w:bCs/>
          <w:sz w:val="24"/>
          <w:szCs w:val="24"/>
          <w:rtl/>
        </w:rPr>
        <w:t>הדסה היא אסתר</w:t>
      </w:r>
      <w:r w:rsidRPr="00275952">
        <w:rPr>
          <w:rFonts w:cs="David"/>
          <w:sz w:val="24"/>
          <w:szCs w:val="24"/>
          <w:rtl/>
        </w:rPr>
        <w:t xml:space="preserve">, אלון שבות תשנ"ז, עמ' </w:t>
      </w:r>
      <w:r>
        <w:rPr>
          <w:rFonts w:cs="David" w:hint="cs"/>
          <w:sz w:val="24"/>
          <w:szCs w:val="24"/>
          <w:rtl/>
        </w:rPr>
        <w:t>73–92.</w:t>
      </w:r>
      <w:r w:rsidRPr="00275952">
        <w:rPr>
          <w:rFonts w:cs="David"/>
          <w:sz w:val="24"/>
          <w:szCs w:val="24"/>
          <w:rtl/>
        </w:rPr>
        <w:t xml:space="preserve"> 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בין אברהם ויעקב בסיפורי בראשית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/>
          <w:b/>
          <w:bCs/>
          <w:sz w:val="24"/>
          <w:szCs w:val="24"/>
          <w:rtl/>
        </w:rPr>
        <w:t>מגדים</w:t>
      </w:r>
      <w:r w:rsidRPr="00275952">
        <w:rPr>
          <w:rFonts w:cs="David"/>
          <w:sz w:val="24"/>
          <w:szCs w:val="24"/>
          <w:rtl/>
        </w:rPr>
        <w:t xml:space="preserve"> </w:t>
      </w:r>
      <w:proofErr w:type="spellStart"/>
      <w:r w:rsidRPr="00275952">
        <w:rPr>
          <w:rFonts w:cs="David"/>
          <w:sz w:val="24"/>
          <w:szCs w:val="24"/>
          <w:rtl/>
        </w:rPr>
        <w:t>כז</w:t>
      </w:r>
      <w:proofErr w:type="spellEnd"/>
      <w:r w:rsidRPr="00275952">
        <w:rPr>
          <w:rFonts w:cs="David"/>
          <w:sz w:val="24"/>
          <w:szCs w:val="24"/>
          <w:rtl/>
        </w:rPr>
        <w:t xml:space="preserve"> (תשנ"ז), עמ'</w:t>
      </w:r>
      <w:r>
        <w:rPr>
          <w:rFonts w:cs="David" w:hint="cs"/>
          <w:sz w:val="24"/>
          <w:szCs w:val="24"/>
          <w:rtl/>
        </w:rPr>
        <w:t xml:space="preserve"> 9–28</w:t>
      </w:r>
      <w:r w:rsidRPr="00275952">
        <w:rPr>
          <w:rFonts w:cs="David"/>
          <w:sz w:val="24"/>
          <w:szCs w:val="24"/>
          <w:rtl/>
        </w:rPr>
        <w:t>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"</w:t>
      </w:r>
      <w:r>
        <w:rPr>
          <w:rFonts w:cs="David"/>
          <w:sz w:val="24"/>
          <w:szCs w:val="24"/>
          <w:rtl/>
        </w:rPr>
        <w:t>משמעות שלוח השעיר לעזאזל במשנת ר' צדוק הכהן מלובלין</w:t>
      </w:r>
      <w:r>
        <w:rPr>
          <w:rFonts w:cs="David" w:hint="cs"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/>
          <w:b/>
          <w:bCs/>
          <w:sz w:val="24"/>
          <w:szCs w:val="24"/>
          <w:rtl/>
        </w:rPr>
        <w:t>סיני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/>
          <w:sz w:val="24"/>
          <w:szCs w:val="24"/>
          <w:rtl/>
        </w:rPr>
        <w:t>קכא</w:t>
      </w:r>
      <w:proofErr w:type="spellEnd"/>
      <w:r>
        <w:rPr>
          <w:rFonts w:cs="David"/>
          <w:sz w:val="24"/>
          <w:szCs w:val="24"/>
          <w:rtl/>
        </w:rPr>
        <w:t xml:space="preserve"> (תשנ"ח), עמ' פו-צח.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שני ספורים כפולים בספר בראשית: פרדת הגר (ט"ז, כ"א) ובשורת לידת יצחק (י"ז, י"ח)</w:t>
      </w:r>
      <w:r w:rsidRPr="00275952">
        <w:rPr>
          <w:rFonts w:cs="David" w:hint="cs"/>
          <w:sz w:val="24"/>
          <w:szCs w:val="24"/>
          <w:rtl/>
        </w:rPr>
        <w:t>",</w:t>
      </w:r>
      <w:r w:rsidRPr="00275952">
        <w:rPr>
          <w:rFonts w:cs="David"/>
          <w:sz w:val="24"/>
          <w:szCs w:val="24"/>
          <w:rtl/>
        </w:rPr>
        <w:t xml:space="preserve"> </w:t>
      </w:r>
      <w:r w:rsidRPr="00275952">
        <w:rPr>
          <w:rFonts w:cs="David"/>
          <w:b/>
          <w:bCs/>
          <w:sz w:val="24"/>
          <w:szCs w:val="24"/>
          <w:rtl/>
        </w:rPr>
        <w:t>מגדים</w:t>
      </w:r>
      <w:r w:rsidRPr="00275952">
        <w:rPr>
          <w:rFonts w:cs="David"/>
          <w:sz w:val="24"/>
          <w:szCs w:val="24"/>
          <w:rtl/>
        </w:rPr>
        <w:t xml:space="preserve"> </w:t>
      </w:r>
      <w:proofErr w:type="spellStart"/>
      <w:r w:rsidRPr="00275952">
        <w:rPr>
          <w:rFonts w:cs="David"/>
          <w:sz w:val="24"/>
          <w:szCs w:val="24"/>
          <w:rtl/>
        </w:rPr>
        <w:t>כט</w:t>
      </w:r>
      <w:proofErr w:type="spellEnd"/>
      <w:r w:rsidRPr="00275952">
        <w:rPr>
          <w:rFonts w:cs="David"/>
          <w:sz w:val="24"/>
          <w:szCs w:val="24"/>
          <w:rtl/>
        </w:rPr>
        <w:t xml:space="preserve"> (תשנ"ח), עמ'</w:t>
      </w:r>
      <w:r>
        <w:rPr>
          <w:rFonts w:cs="David" w:hint="cs"/>
          <w:sz w:val="24"/>
          <w:szCs w:val="24"/>
          <w:rtl/>
        </w:rPr>
        <w:t xml:space="preserve"> 9–30</w:t>
      </w:r>
      <w:r w:rsidRPr="00275952">
        <w:rPr>
          <w:rFonts w:cs="David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תפיסת השפה והאותיות בהגות ר' צדוק הכהן מלובלין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/>
          <w:b/>
          <w:bCs/>
          <w:sz w:val="24"/>
          <w:szCs w:val="24"/>
          <w:rtl/>
        </w:rPr>
        <w:t>שנה בשנה</w:t>
      </w:r>
      <w:r w:rsidRPr="00275952">
        <w:rPr>
          <w:rFonts w:cs="David"/>
          <w:sz w:val="24"/>
          <w:szCs w:val="24"/>
          <w:rtl/>
        </w:rPr>
        <w:t xml:space="preserve"> מ'</w:t>
      </w:r>
      <w:r>
        <w:rPr>
          <w:rFonts w:cs="David" w:hint="cs"/>
          <w:sz w:val="24"/>
          <w:szCs w:val="24"/>
          <w:rtl/>
        </w:rPr>
        <w:t xml:space="preserve"> (</w:t>
      </w:r>
      <w:r w:rsidRPr="00275952">
        <w:rPr>
          <w:rFonts w:cs="David"/>
          <w:sz w:val="24"/>
          <w:szCs w:val="24"/>
          <w:rtl/>
        </w:rPr>
        <w:t>תשנ"ט</w:t>
      </w:r>
      <w:r>
        <w:rPr>
          <w:rFonts w:cs="David" w:hint="cs"/>
          <w:sz w:val="24"/>
          <w:szCs w:val="24"/>
          <w:rtl/>
        </w:rPr>
        <w:t>)</w:t>
      </w:r>
      <w:r w:rsidRPr="00275952">
        <w:rPr>
          <w:rFonts w:cs="David"/>
          <w:sz w:val="24"/>
          <w:szCs w:val="24"/>
          <w:rtl/>
        </w:rPr>
        <w:t>, עמ'</w:t>
      </w:r>
      <w:r>
        <w:rPr>
          <w:rFonts w:cs="David" w:hint="cs"/>
          <w:sz w:val="24"/>
          <w:szCs w:val="24"/>
          <w:rtl/>
        </w:rPr>
        <w:t xml:space="preserve"> 396–436.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גזרות המן וכרם נבות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/>
          <w:b/>
          <w:bCs/>
          <w:sz w:val="24"/>
          <w:szCs w:val="24"/>
          <w:rtl/>
        </w:rPr>
        <w:t>מגדים</w:t>
      </w:r>
      <w:r w:rsidRPr="00275952">
        <w:rPr>
          <w:rFonts w:cs="David"/>
          <w:sz w:val="24"/>
          <w:szCs w:val="24"/>
          <w:rtl/>
        </w:rPr>
        <w:t xml:space="preserve"> ל (תשנ"ט), עמ'</w:t>
      </w:r>
      <w:r>
        <w:rPr>
          <w:rFonts w:cs="David" w:hint="cs"/>
          <w:sz w:val="24"/>
          <w:szCs w:val="24"/>
          <w:rtl/>
        </w:rPr>
        <w:t xml:space="preserve"> 49–66</w:t>
      </w:r>
      <w:r w:rsidRPr="00275952">
        <w:rPr>
          <w:rFonts w:cs="David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על החיים לאור המוות בעקבות ר' צדוק הכהן מלובלין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 w:hint="cs"/>
          <w:sz w:val="24"/>
          <w:szCs w:val="24"/>
          <w:rtl/>
        </w:rPr>
        <w:t xml:space="preserve">בתוך: ג' </w:t>
      </w:r>
      <w:proofErr w:type="spellStart"/>
      <w:r w:rsidRPr="00275952">
        <w:rPr>
          <w:rFonts w:cs="David" w:hint="cs"/>
          <w:sz w:val="24"/>
          <w:szCs w:val="24"/>
          <w:rtl/>
        </w:rPr>
        <w:t>קיציס</w:t>
      </w:r>
      <w:proofErr w:type="spellEnd"/>
      <w:r w:rsidRPr="00275952">
        <w:rPr>
          <w:rFonts w:cs="David" w:hint="cs"/>
          <w:sz w:val="24"/>
          <w:szCs w:val="24"/>
          <w:rtl/>
        </w:rPr>
        <w:t xml:space="preserve"> (עורך), </w:t>
      </w:r>
      <w:r w:rsidRPr="00275952">
        <w:rPr>
          <w:rFonts w:cs="David"/>
          <w:b/>
          <w:bCs/>
          <w:sz w:val="24"/>
          <w:szCs w:val="24"/>
          <w:rtl/>
        </w:rPr>
        <w:t>מאת לצדיק</w:t>
      </w:r>
      <w:r w:rsidRPr="00275952">
        <w:rPr>
          <w:rFonts w:cs="David"/>
          <w:sz w:val="24"/>
          <w:szCs w:val="24"/>
          <w:rtl/>
        </w:rPr>
        <w:t>, ירושלים תש"ס, עמ'</w:t>
      </w:r>
      <w:r>
        <w:rPr>
          <w:rFonts w:cs="David" w:hint="cs"/>
          <w:sz w:val="24"/>
          <w:szCs w:val="24"/>
          <w:rtl/>
        </w:rPr>
        <w:t xml:space="preserve"> 223–244.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תפיסת האלוהות של ר' צדוק הכהן מלובלין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 xml:space="preserve">, </w:t>
      </w:r>
      <w:r w:rsidRPr="00275952">
        <w:rPr>
          <w:rFonts w:cs="David" w:hint="cs"/>
          <w:sz w:val="24"/>
          <w:szCs w:val="24"/>
          <w:rtl/>
        </w:rPr>
        <w:t xml:space="preserve">בתוך: א' בזק (עורך), </w:t>
      </w:r>
      <w:r w:rsidRPr="00275952">
        <w:rPr>
          <w:rFonts w:cs="David"/>
          <w:b/>
          <w:bCs/>
          <w:sz w:val="24"/>
          <w:szCs w:val="24"/>
          <w:rtl/>
        </w:rPr>
        <w:t>על דרך האבות</w:t>
      </w:r>
      <w:r w:rsidRPr="00275952">
        <w:rPr>
          <w:rFonts w:cs="David"/>
          <w:sz w:val="24"/>
          <w:szCs w:val="24"/>
          <w:rtl/>
        </w:rPr>
        <w:t>, אלון שבות תשס"א, עמ'</w:t>
      </w:r>
      <w:r>
        <w:rPr>
          <w:rFonts w:cs="David" w:hint="cs"/>
          <w:sz w:val="24"/>
          <w:szCs w:val="24"/>
          <w:rtl/>
        </w:rPr>
        <w:t xml:space="preserve"> 457–474</w:t>
      </w:r>
      <w:r w:rsidRPr="00275952">
        <w:rPr>
          <w:rFonts w:cs="David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 xml:space="preserve">"מבנה מגילת רות ומשמעותו", בתוך: 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אל אשר תלכי </w:t>
      </w:r>
      <w:r w:rsidRPr="00275952">
        <w:rPr>
          <w:rFonts w:cs="David"/>
          <w:b/>
          <w:bCs/>
          <w:sz w:val="24"/>
          <w:szCs w:val="24"/>
          <w:rtl/>
        </w:rPr>
        <w:t>–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 עיונים במגילת רות</w:t>
      </w:r>
      <w:r w:rsidRPr="00275952">
        <w:rPr>
          <w:rFonts w:cs="David" w:hint="cs"/>
          <w:sz w:val="24"/>
          <w:szCs w:val="24"/>
          <w:rtl/>
        </w:rPr>
        <w:t>, ירושלים תשס"ב,</w:t>
      </w:r>
      <w:r>
        <w:rPr>
          <w:rFonts w:cs="David" w:hint="cs"/>
          <w:sz w:val="24"/>
          <w:szCs w:val="24"/>
          <w:rtl/>
        </w:rPr>
        <w:t xml:space="preserve"> עמ' 49–63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/>
          <w:sz w:val="24"/>
          <w:szCs w:val="24"/>
          <w:rtl/>
        </w:rPr>
      </w:pPr>
      <w:r w:rsidRPr="00275952">
        <w:rPr>
          <w:rFonts w:cs="David" w:hint="cs"/>
          <w:sz w:val="24"/>
          <w:szCs w:val="24"/>
          <w:rtl/>
        </w:rPr>
        <w:t xml:space="preserve">"קורבן המנחה", </w:t>
      </w:r>
      <w:r w:rsidRPr="00275952">
        <w:rPr>
          <w:rFonts w:cs="David" w:hint="cs"/>
          <w:b/>
          <w:bCs/>
          <w:sz w:val="24"/>
          <w:szCs w:val="24"/>
          <w:rtl/>
        </w:rPr>
        <w:t>מגדים</w:t>
      </w:r>
      <w:r w:rsidRPr="00275952">
        <w:rPr>
          <w:rFonts w:cs="David" w:hint="cs"/>
          <w:sz w:val="24"/>
          <w:szCs w:val="24"/>
          <w:rtl/>
        </w:rPr>
        <w:t xml:space="preserve"> לו (תשס"ג), עמ'</w:t>
      </w:r>
      <w:r>
        <w:rPr>
          <w:rFonts w:cs="David" w:hint="cs"/>
          <w:sz w:val="24"/>
          <w:szCs w:val="24"/>
          <w:rtl/>
        </w:rPr>
        <w:t xml:space="preserve"> 25–40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"'וכי אפשר להידבק בשכינה?' </w:t>
      </w:r>
      <w:r w:rsidRPr="00275952">
        <w:rPr>
          <w:rFonts w:cs="David"/>
          <w:sz w:val="24"/>
          <w:szCs w:val="24"/>
          <w:rtl/>
        </w:rPr>
        <w:t>–</w:t>
      </w:r>
      <w:r w:rsidRPr="00275952">
        <w:rPr>
          <w:rFonts w:cs="David" w:hint="cs"/>
          <w:sz w:val="24"/>
          <w:szCs w:val="24"/>
          <w:rtl/>
        </w:rPr>
        <w:t xml:space="preserve"> על אפשרות הדבקות בחיים", בתוך: י' אלפסי (עורך), </w:t>
      </w:r>
      <w:r w:rsidRPr="00275952">
        <w:rPr>
          <w:rFonts w:cs="David" w:hint="cs"/>
          <w:b/>
          <w:bCs/>
          <w:sz w:val="24"/>
          <w:szCs w:val="24"/>
          <w:rtl/>
        </w:rPr>
        <w:t>וחי בהם</w:t>
      </w:r>
      <w:r w:rsidRPr="00275952">
        <w:rPr>
          <w:rFonts w:cs="David" w:hint="cs"/>
          <w:sz w:val="24"/>
          <w:szCs w:val="24"/>
          <w:rtl/>
        </w:rPr>
        <w:t>, תשס"ג</w:t>
      </w:r>
      <w:r>
        <w:rPr>
          <w:rFonts w:cs="David" w:hint="cs"/>
          <w:sz w:val="24"/>
          <w:szCs w:val="24"/>
          <w:rtl/>
        </w:rPr>
        <w:t>, עמ' 132–141.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"יום ולילה: על מלכות שמים משתנה </w:t>
      </w:r>
      <w:r w:rsidRPr="00275952">
        <w:rPr>
          <w:rFonts w:cs="David"/>
          <w:sz w:val="24"/>
          <w:szCs w:val="24"/>
          <w:rtl/>
        </w:rPr>
        <w:t>–</w:t>
      </w:r>
      <w:r w:rsidRPr="00275952">
        <w:rPr>
          <w:rFonts w:cs="David" w:hint="cs"/>
          <w:sz w:val="24"/>
          <w:szCs w:val="24"/>
          <w:rtl/>
        </w:rPr>
        <w:t xml:space="preserve"> עיון בצדקת הצדיק, תורה ג'", בתוך: ד' עזריאל (עורך), 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אשרי האיש </w:t>
      </w:r>
      <w:r w:rsidRPr="00275952">
        <w:rPr>
          <w:rFonts w:cs="David"/>
          <w:b/>
          <w:bCs/>
          <w:sz w:val="24"/>
          <w:szCs w:val="24"/>
          <w:rtl/>
        </w:rPr>
        <w:t>–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 פרקי לימוד בחסידות</w:t>
      </w:r>
      <w:r w:rsidRPr="00275952">
        <w:rPr>
          <w:rFonts w:cs="David" w:hint="cs"/>
          <w:sz w:val="24"/>
          <w:szCs w:val="24"/>
          <w:rtl/>
        </w:rPr>
        <w:t>, עתניאל תשס"ג, עמ'</w:t>
      </w:r>
      <w:r>
        <w:rPr>
          <w:rFonts w:cs="David" w:hint="cs"/>
          <w:sz w:val="24"/>
          <w:szCs w:val="24"/>
          <w:rtl/>
        </w:rPr>
        <w:t xml:space="preserve"> 155–166</w:t>
      </w:r>
      <w:r w:rsidRPr="00275952">
        <w:rPr>
          <w:rFonts w:cs="David" w:hint="cs"/>
          <w:sz w:val="24"/>
          <w:szCs w:val="24"/>
          <w:rtl/>
        </w:rPr>
        <w:t xml:space="preserve">. 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"עקדת יצחק וברית סיני", בתוך: י' </w:t>
      </w:r>
      <w:proofErr w:type="spellStart"/>
      <w:r w:rsidRPr="00275952">
        <w:rPr>
          <w:rFonts w:cs="David" w:hint="cs"/>
          <w:sz w:val="24"/>
          <w:szCs w:val="24"/>
          <w:rtl/>
        </w:rPr>
        <w:t>רוזנסון</w:t>
      </w:r>
      <w:proofErr w:type="spellEnd"/>
      <w:r w:rsidRPr="00275952">
        <w:rPr>
          <w:rFonts w:cs="David" w:hint="cs"/>
          <w:sz w:val="24"/>
          <w:szCs w:val="24"/>
          <w:rtl/>
        </w:rPr>
        <w:t xml:space="preserve"> וב' לאו (עורכים), 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עקדת יצחק לזרעו </w:t>
      </w:r>
      <w:r w:rsidRPr="00275952">
        <w:rPr>
          <w:rFonts w:cs="David"/>
          <w:b/>
          <w:bCs/>
          <w:sz w:val="24"/>
          <w:szCs w:val="24"/>
          <w:rtl/>
        </w:rPr>
        <w:t>–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 מבט בעין ישראלית</w:t>
      </w:r>
      <w:r w:rsidRPr="00275952">
        <w:rPr>
          <w:rFonts w:cs="David" w:hint="cs"/>
          <w:sz w:val="24"/>
          <w:szCs w:val="24"/>
          <w:rtl/>
        </w:rPr>
        <w:t>, תשס"ג, עמ'</w:t>
      </w:r>
      <w:r>
        <w:rPr>
          <w:rFonts w:cs="David" w:hint="cs"/>
          <w:sz w:val="24"/>
          <w:szCs w:val="24"/>
          <w:rtl/>
        </w:rPr>
        <w:t xml:space="preserve"> 355–364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"'היום הרת עולם' </w:t>
      </w:r>
      <w:r w:rsidRPr="00275952">
        <w:rPr>
          <w:rFonts w:cs="David"/>
          <w:sz w:val="24"/>
          <w:szCs w:val="24"/>
          <w:rtl/>
        </w:rPr>
        <w:t>–</w:t>
      </w:r>
      <w:r w:rsidRPr="00275952">
        <w:rPr>
          <w:rFonts w:cs="David" w:hint="cs"/>
          <w:sz w:val="24"/>
          <w:szCs w:val="24"/>
          <w:rtl/>
        </w:rPr>
        <w:t xml:space="preserve"> לאור 'לידתם' המחודשת של נח ויונה", בתוך: א' בזק (עורך), 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בראש השנה </w:t>
      </w:r>
      <w:proofErr w:type="spellStart"/>
      <w:r w:rsidRPr="00275952">
        <w:rPr>
          <w:rFonts w:cs="David" w:hint="cs"/>
          <w:b/>
          <w:bCs/>
          <w:sz w:val="24"/>
          <w:szCs w:val="24"/>
          <w:rtl/>
        </w:rPr>
        <w:t>ייכתבון</w:t>
      </w:r>
      <w:proofErr w:type="spellEnd"/>
      <w:r w:rsidRPr="00275952">
        <w:rPr>
          <w:rFonts w:cs="David" w:hint="cs"/>
          <w:sz w:val="24"/>
          <w:szCs w:val="24"/>
          <w:rtl/>
        </w:rPr>
        <w:t>, אלון שבות תשס"ג, עמ'</w:t>
      </w:r>
      <w:r>
        <w:rPr>
          <w:rFonts w:cs="David" w:hint="cs"/>
          <w:sz w:val="24"/>
          <w:szCs w:val="24"/>
          <w:rtl/>
        </w:rPr>
        <w:t xml:space="preserve"> 41–60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" '</w:t>
      </w:r>
      <w:proofErr w:type="spellStart"/>
      <w:r>
        <w:rPr>
          <w:rFonts w:cs="David" w:hint="cs"/>
          <w:sz w:val="24"/>
          <w:szCs w:val="24"/>
          <w:rtl/>
        </w:rPr>
        <w:t>ולישרי</w:t>
      </w:r>
      <w:proofErr w:type="spellEnd"/>
      <w:r>
        <w:rPr>
          <w:rFonts w:cs="David" w:hint="cs"/>
          <w:sz w:val="24"/>
          <w:szCs w:val="24"/>
          <w:rtl/>
        </w:rPr>
        <w:t xml:space="preserve"> לב שמחה': על 'צדיק' ועל 'ישר' בתורתו של ר' צדוק הכהן מלובלין", בתוך: מ' ליברמן (עורך), </w:t>
      </w:r>
      <w:r>
        <w:rPr>
          <w:rFonts w:cs="David" w:hint="cs"/>
          <w:b/>
          <w:bCs/>
          <w:sz w:val="24"/>
          <w:szCs w:val="24"/>
          <w:rtl/>
        </w:rPr>
        <w:t>שבט ראובן</w:t>
      </w:r>
      <w:r>
        <w:rPr>
          <w:rFonts w:cs="David" w:hint="cs"/>
          <w:sz w:val="24"/>
          <w:szCs w:val="24"/>
          <w:rtl/>
        </w:rPr>
        <w:t>, בני ברק תשס"ד, עמ' 37–49.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"בגדי הבד ביום הכיפורים", </w:t>
      </w:r>
      <w:r w:rsidRPr="00275952">
        <w:rPr>
          <w:rFonts w:cs="David" w:hint="cs"/>
          <w:b/>
          <w:bCs/>
          <w:sz w:val="24"/>
          <w:szCs w:val="24"/>
          <w:rtl/>
        </w:rPr>
        <w:t>מגדים</w:t>
      </w:r>
      <w:r w:rsidRPr="00275952">
        <w:rPr>
          <w:rFonts w:cs="David" w:hint="cs"/>
          <w:sz w:val="24"/>
          <w:szCs w:val="24"/>
          <w:rtl/>
        </w:rPr>
        <w:t xml:space="preserve"> לט (תשס"ד), עמ'</w:t>
      </w:r>
      <w:r>
        <w:rPr>
          <w:rFonts w:cs="David" w:hint="cs"/>
          <w:sz w:val="24"/>
          <w:szCs w:val="24"/>
          <w:rtl/>
        </w:rPr>
        <w:t xml:space="preserve"> 55–70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"בין רות לגבעונים", </w:t>
      </w:r>
      <w:r w:rsidRPr="00275952">
        <w:rPr>
          <w:rFonts w:cs="David"/>
          <w:b/>
          <w:bCs/>
          <w:sz w:val="24"/>
          <w:szCs w:val="24"/>
          <w:rtl/>
        </w:rPr>
        <w:t>אור המזרח</w:t>
      </w:r>
      <w:r w:rsidRPr="00275952">
        <w:rPr>
          <w:rFonts w:cs="David"/>
          <w:sz w:val="24"/>
          <w:szCs w:val="24"/>
          <w:rtl/>
        </w:rPr>
        <w:t> מט,</w:t>
      </w:r>
      <w:r w:rsidRPr="00275952">
        <w:rPr>
          <w:rFonts w:cs="David" w:hint="cs"/>
          <w:sz w:val="24"/>
          <w:szCs w:val="24"/>
          <w:rtl/>
        </w:rPr>
        <w:t xml:space="preserve"> </w:t>
      </w:r>
      <w:r w:rsidRPr="00275952">
        <w:rPr>
          <w:rFonts w:cs="David"/>
          <w:sz w:val="24"/>
          <w:szCs w:val="24"/>
          <w:rtl/>
        </w:rPr>
        <w:t>א-ב (תשס</w:t>
      </w:r>
      <w:r w:rsidRPr="00275952">
        <w:rPr>
          <w:rFonts w:cs="David" w:hint="cs"/>
          <w:sz w:val="24"/>
          <w:szCs w:val="24"/>
          <w:rtl/>
        </w:rPr>
        <w:t>"</w:t>
      </w:r>
      <w:r w:rsidRPr="00275952">
        <w:rPr>
          <w:rFonts w:cs="David"/>
          <w:sz w:val="24"/>
          <w:szCs w:val="24"/>
          <w:rtl/>
        </w:rPr>
        <w:t>ד)</w:t>
      </w:r>
      <w:r w:rsidRPr="00275952">
        <w:rPr>
          <w:rFonts w:cs="David" w:hint="cs"/>
          <w:sz w:val="24"/>
          <w:szCs w:val="24"/>
          <w:rtl/>
        </w:rPr>
        <w:t>, עמ'</w:t>
      </w:r>
      <w:r w:rsidRPr="00275952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139–151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"כבשן האש וגוב האריות (דניאל ג'-ו')", 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מגדים </w:t>
      </w:r>
      <w:proofErr w:type="spellStart"/>
      <w:r w:rsidRPr="00275952">
        <w:rPr>
          <w:rFonts w:cs="David" w:hint="cs"/>
          <w:sz w:val="24"/>
          <w:szCs w:val="24"/>
          <w:rtl/>
        </w:rPr>
        <w:t>מא</w:t>
      </w:r>
      <w:proofErr w:type="spellEnd"/>
      <w:r w:rsidRPr="00275952">
        <w:rPr>
          <w:rFonts w:cs="David" w:hint="cs"/>
          <w:sz w:val="24"/>
          <w:szCs w:val="24"/>
          <w:rtl/>
        </w:rPr>
        <w:t xml:space="preserve"> (תשס"ה), עמ'</w:t>
      </w:r>
      <w:r>
        <w:rPr>
          <w:rFonts w:cs="David" w:hint="cs"/>
          <w:sz w:val="24"/>
          <w:szCs w:val="24"/>
          <w:rtl/>
        </w:rPr>
        <w:t xml:space="preserve"> 51–64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Pr="00275952" w:rsidRDefault="00C1638D" w:rsidP="00C1638D">
      <w:pPr>
        <w:numPr>
          <w:ilvl w:val="0"/>
          <w:numId w:val="1"/>
        </w:numPr>
        <w:spacing w:line="480" w:lineRule="auto"/>
        <w:ind w:right="0"/>
        <w:jc w:val="both"/>
        <w:rPr>
          <w:rFonts w:cs="David" w:hint="cs"/>
          <w:sz w:val="24"/>
          <w:szCs w:val="24"/>
        </w:rPr>
      </w:pPr>
      <w:r w:rsidRPr="00275952">
        <w:rPr>
          <w:rFonts w:cs="David" w:hint="cs"/>
          <w:sz w:val="24"/>
          <w:szCs w:val="24"/>
          <w:rtl/>
        </w:rPr>
        <w:t xml:space="preserve">"מכפרת המשכן אל כפרת </w:t>
      </w:r>
      <w:proofErr w:type="spellStart"/>
      <w:r w:rsidRPr="00275952">
        <w:rPr>
          <w:rFonts w:cs="David" w:hint="cs"/>
          <w:sz w:val="24"/>
          <w:szCs w:val="24"/>
          <w:rtl/>
        </w:rPr>
        <w:t>הגבולין</w:t>
      </w:r>
      <w:proofErr w:type="spellEnd"/>
      <w:r w:rsidRPr="00275952">
        <w:rPr>
          <w:rFonts w:cs="David" w:hint="cs"/>
          <w:sz w:val="24"/>
          <w:szCs w:val="24"/>
          <w:rtl/>
        </w:rPr>
        <w:t xml:space="preserve"> (ויקרא כ"ג, </w:t>
      </w:r>
      <w:proofErr w:type="spellStart"/>
      <w:r w:rsidRPr="00275952">
        <w:rPr>
          <w:rFonts w:cs="David" w:hint="cs"/>
          <w:sz w:val="24"/>
          <w:szCs w:val="24"/>
          <w:rtl/>
        </w:rPr>
        <w:t>כו</w:t>
      </w:r>
      <w:proofErr w:type="spellEnd"/>
      <w:r w:rsidRPr="00275952">
        <w:rPr>
          <w:rFonts w:cs="David" w:hint="cs"/>
          <w:sz w:val="24"/>
          <w:szCs w:val="24"/>
          <w:rtl/>
        </w:rPr>
        <w:t xml:space="preserve">-לב)", בתוך: א' בזק (עורך), </w:t>
      </w:r>
      <w:r w:rsidRPr="00275952">
        <w:rPr>
          <w:rFonts w:cs="David" w:hint="cs"/>
          <w:b/>
          <w:bCs/>
          <w:sz w:val="24"/>
          <w:szCs w:val="24"/>
          <w:rtl/>
        </w:rPr>
        <w:t xml:space="preserve">וביום צום כיפור </w:t>
      </w:r>
      <w:proofErr w:type="spellStart"/>
      <w:r w:rsidRPr="00275952">
        <w:rPr>
          <w:rFonts w:cs="David" w:hint="cs"/>
          <w:b/>
          <w:bCs/>
          <w:sz w:val="24"/>
          <w:szCs w:val="24"/>
          <w:rtl/>
        </w:rPr>
        <w:t>יחתמון</w:t>
      </w:r>
      <w:proofErr w:type="spellEnd"/>
      <w:r w:rsidRPr="00275952">
        <w:rPr>
          <w:rFonts w:cs="David" w:hint="cs"/>
          <w:sz w:val="24"/>
          <w:szCs w:val="24"/>
          <w:rtl/>
        </w:rPr>
        <w:t>, אלון שבות תשס"ה, עמ'</w:t>
      </w:r>
      <w:r>
        <w:rPr>
          <w:rFonts w:cs="David" w:hint="cs"/>
          <w:sz w:val="24"/>
          <w:szCs w:val="24"/>
          <w:rtl/>
        </w:rPr>
        <w:t xml:space="preserve"> 11–24</w:t>
      </w:r>
      <w:r w:rsidRPr="00275952">
        <w:rPr>
          <w:rFonts w:cs="David" w:hint="cs"/>
          <w:sz w:val="24"/>
          <w:szCs w:val="24"/>
          <w:rtl/>
        </w:rPr>
        <w:t>.</w:t>
      </w:r>
    </w:p>
    <w:p w:rsidR="00C1638D" w:rsidRDefault="00C1638D" w:rsidP="00C1638D">
      <w:pPr>
        <w:numPr>
          <w:ilvl w:val="0"/>
          <w:numId w:val="1"/>
        </w:numPr>
        <w:tabs>
          <w:tab w:val="clear" w:pos="360"/>
          <w:tab w:val="num" w:pos="180"/>
        </w:tabs>
        <w:bidi w:val="0"/>
        <w:spacing w:line="480" w:lineRule="auto"/>
        <w:ind w:left="357" w:right="0" w:hanging="537"/>
        <w:jc w:val="both"/>
        <w:rPr>
          <w:rFonts w:cs="David"/>
          <w:sz w:val="24"/>
          <w:szCs w:val="24"/>
        </w:rPr>
      </w:pPr>
      <w:r w:rsidRPr="00275952">
        <w:rPr>
          <w:rFonts w:cs="David"/>
          <w:sz w:val="24"/>
          <w:szCs w:val="24"/>
        </w:rPr>
        <w:lastRenderedPageBreak/>
        <w:t xml:space="preserve">"Feasting and Fasting in Esther", </w:t>
      </w:r>
      <w:proofErr w:type="spellStart"/>
      <w:r w:rsidRPr="00275952">
        <w:rPr>
          <w:rFonts w:cs="David"/>
          <w:i/>
          <w:iCs/>
          <w:sz w:val="24"/>
          <w:szCs w:val="24"/>
        </w:rPr>
        <w:t>Alei</w:t>
      </w:r>
      <w:proofErr w:type="spellEnd"/>
      <w:r w:rsidRPr="00275952">
        <w:rPr>
          <w:rFonts w:cs="David"/>
          <w:i/>
          <w:iCs/>
          <w:sz w:val="24"/>
          <w:szCs w:val="24"/>
        </w:rPr>
        <w:t xml:space="preserve"> </w:t>
      </w:r>
      <w:proofErr w:type="spellStart"/>
      <w:r w:rsidRPr="00275952">
        <w:rPr>
          <w:rFonts w:cs="David"/>
          <w:i/>
          <w:iCs/>
          <w:sz w:val="24"/>
          <w:szCs w:val="24"/>
        </w:rPr>
        <w:t>Etzion</w:t>
      </w:r>
      <w:proofErr w:type="spellEnd"/>
      <w:r w:rsidRPr="00275952">
        <w:rPr>
          <w:rFonts w:cs="David"/>
          <w:i/>
          <w:iCs/>
          <w:sz w:val="24"/>
          <w:szCs w:val="24"/>
        </w:rPr>
        <w:t xml:space="preserve"> </w:t>
      </w:r>
      <w:r w:rsidRPr="00275952">
        <w:rPr>
          <w:rFonts w:cs="David"/>
          <w:sz w:val="24"/>
          <w:szCs w:val="24"/>
        </w:rPr>
        <w:t>14 (2006), pp. 127-148.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0" w:hanging="357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"היסוד 'הפראי' והיסוד 'המתורבת' בספר בראשית ובעלילות גלגמש (עיון סטרוקטורליסטי)", בתוך: </w:t>
      </w:r>
      <w:r>
        <w:rPr>
          <w:rFonts w:cs="David" w:hint="cs"/>
          <w:b/>
          <w:bCs/>
          <w:sz w:val="24"/>
          <w:szCs w:val="24"/>
          <w:rtl/>
        </w:rPr>
        <w:t xml:space="preserve">ללקוט שושנים: לזכרה של שושנה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קינד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 ז"ל</w:t>
      </w:r>
      <w:r>
        <w:rPr>
          <w:rFonts w:cs="David" w:hint="cs"/>
          <w:sz w:val="24"/>
          <w:szCs w:val="24"/>
          <w:rtl/>
        </w:rPr>
        <w:t>, ירושלים תשס"ז, עמ' 349–368.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0" w:hanging="357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"על אנלוגיות מקראיות סמויות במדרשי חז"ל", </w:t>
      </w:r>
      <w:r w:rsidRPr="00DB125E">
        <w:rPr>
          <w:rFonts w:cs="David" w:hint="cs"/>
          <w:b/>
          <w:bCs/>
          <w:sz w:val="24"/>
          <w:szCs w:val="24"/>
          <w:rtl/>
        </w:rPr>
        <w:t>מגדים</w:t>
      </w:r>
      <w:r>
        <w:rPr>
          <w:rFonts w:cs="David" w:hint="cs"/>
          <w:sz w:val="24"/>
          <w:szCs w:val="24"/>
          <w:rtl/>
        </w:rPr>
        <w:t xml:space="preserve"> מו (תשס"ז), עמ' 17</w:t>
      </w:r>
      <w:r>
        <w:rPr>
          <w:rFonts w:cs="David" w:hint="cs"/>
          <w:sz w:val="24"/>
          <w:szCs w:val="24"/>
          <w:rtl/>
        </w:rPr>
        <w:softHyphen/>
        <w:t>-42.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0" w:hanging="357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"צו ה' ויזמה אנושית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'מבנה העומק' של במדבר כ"ה-ל"א", </w:t>
      </w:r>
      <w:r w:rsidRPr="00B20C16">
        <w:rPr>
          <w:rFonts w:cs="David" w:hint="cs"/>
          <w:b/>
          <w:bCs/>
          <w:sz w:val="24"/>
          <w:szCs w:val="24"/>
          <w:rtl/>
        </w:rPr>
        <w:t>מגדים</w:t>
      </w:r>
      <w:r>
        <w:rPr>
          <w:rFonts w:cs="David" w:hint="cs"/>
          <w:sz w:val="24"/>
          <w:szCs w:val="24"/>
          <w:rtl/>
        </w:rPr>
        <w:t xml:space="preserve"> נ (תשס"ט), עמ' 61</w:t>
      </w:r>
      <w:r>
        <w:rPr>
          <w:rFonts w:cs="David" w:hint="cs"/>
          <w:sz w:val="24"/>
          <w:szCs w:val="24"/>
          <w:rtl/>
        </w:rPr>
        <w:softHyphen/>
        <w:t>-78.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left="357" w:right="0" w:hanging="357"/>
        <w:jc w:val="both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"עוד על אנלוגיות מקראיות סמויות במדרשי חז"ל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תגובה להערותיו של שמעון פוגל", </w:t>
      </w:r>
      <w:r w:rsidRPr="009500EA">
        <w:rPr>
          <w:rFonts w:cs="David" w:hint="cs"/>
          <w:b/>
          <w:bCs/>
          <w:sz w:val="24"/>
          <w:szCs w:val="24"/>
          <w:rtl/>
        </w:rPr>
        <w:t>מגדים</w:t>
      </w:r>
      <w:r>
        <w:rPr>
          <w:rFonts w:cs="David" w:hint="cs"/>
          <w:sz w:val="24"/>
          <w:szCs w:val="24"/>
          <w:rtl/>
        </w:rPr>
        <w:t xml:space="preserve"> נא (תש"ע), עמ' 109</w:t>
      </w:r>
      <w:r>
        <w:rPr>
          <w:rFonts w:cs="David" w:hint="cs"/>
          <w:sz w:val="24"/>
          <w:szCs w:val="24"/>
          <w:rtl/>
        </w:rPr>
        <w:softHyphen/>
        <w:t>-118.</w:t>
      </w:r>
    </w:p>
    <w:p w:rsidR="00C1638D" w:rsidRDefault="00C1638D" w:rsidP="00C1638D">
      <w:pPr>
        <w:spacing w:line="480" w:lineRule="auto"/>
        <w:rPr>
          <w:rFonts w:cs="David" w:hint="cs"/>
          <w:sz w:val="24"/>
          <w:szCs w:val="24"/>
          <w:u w:val="single"/>
          <w:rtl/>
        </w:rPr>
      </w:pPr>
    </w:p>
    <w:p w:rsidR="00C1638D" w:rsidRPr="00563245" w:rsidRDefault="00C1638D" w:rsidP="00C1638D">
      <w:pPr>
        <w:spacing w:line="480" w:lineRule="auto"/>
        <w:rPr>
          <w:rFonts w:cs="David" w:hint="cs"/>
          <w:sz w:val="24"/>
          <w:szCs w:val="24"/>
          <w:u w:val="single"/>
          <w:rtl/>
        </w:rPr>
      </w:pPr>
      <w:r w:rsidRPr="00563245">
        <w:rPr>
          <w:rFonts w:cs="David" w:hint="cs"/>
          <w:sz w:val="24"/>
          <w:szCs w:val="24"/>
          <w:u w:val="single"/>
          <w:rtl/>
        </w:rPr>
        <w:t>אמצעי עזר בהוראה:</w:t>
      </w:r>
    </w:p>
    <w:p w:rsidR="00C1638D" w:rsidRDefault="00C1638D" w:rsidP="00C1638D">
      <w:pPr>
        <w:numPr>
          <w:ilvl w:val="0"/>
          <w:numId w:val="1"/>
        </w:numPr>
        <w:spacing w:line="480" w:lineRule="auto"/>
        <w:ind w:right="0"/>
        <w:rPr>
          <w:rFonts w:cs="David" w:hint="cs"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>בראשית - שמות: דפים למעיין ולמורה</w:t>
      </w:r>
      <w:r>
        <w:rPr>
          <w:rFonts w:cs="David"/>
          <w:sz w:val="24"/>
          <w:szCs w:val="24"/>
          <w:rtl/>
        </w:rPr>
        <w:t xml:space="preserve"> [נכתב עם </w:t>
      </w:r>
      <w:r>
        <w:rPr>
          <w:rFonts w:cs="David" w:hint="cs"/>
          <w:sz w:val="24"/>
          <w:szCs w:val="24"/>
          <w:rtl/>
        </w:rPr>
        <w:t>מחברים נוספים]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אלון שבות </w:t>
      </w:r>
      <w:r>
        <w:rPr>
          <w:rFonts w:cs="David"/>
          <w:sz w:val="24"/>
          <w:szCs w:val="24"/>
          <w:rtl/>
        </w:rPr>
        <w:t>תשנ"ט.</w:t>
      </w:r>
    </w:p>
    <w:p w:rsidR="00C1638D" w:rsidRPr="00A63379" w:rsidRDefault="00C1638D" w:rsidP="00C1638D">
      <w:pPr>
        <w:numPr>
          <w:ilvl w:val="0"/>
          <w:numId w:val="1"/>
        </w:numPr>
        <w:spacing w:line="480" w:lineRule="auto"/>
        <w:ind w:right="0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אוגדן פרשת השבוע: ספר בראשית</w:t>
      </w:r>
      <w:r>
        <w:rPr>
          <w:rFonts w:cs="David" w:hint="cs"/>
          <w:sz w:val="24"/>
          <w:szCs w:val="24"/>
          <w:rtl/>
        </w:rPr>
        <w:t xml:space="preserve"> [נכתב עם מחברים נוספים], הסוכנות היהודית, ירושלים תשס"ג.</w:t>
      </w:r>
    </w:p>
    <w:p w:rsidR="005827C6" w:rsidRDefault="005827C6"/>
    <w:sectPr w:rsidR="005827C6" w:rsidSect="0012775E">
      <w:footerReference w:type="even" r:id="rId5"/>
      <w:footerReference w:type="default" r:id="rId6"/>
      <w:endnotePr>
        <w:numFmt w:val="lowerLetter"/>
      </w:endnotePr>
      <w:pgSz w:w="11906" w:h="16838"/>
      <w:pgMar w:top="1440" w:right="1418" w:bottom="1440" w:left="1418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A4" w:rsidRDefault="00D51D48" w:rsidP="00345F60">
    <w:pPr>
      <w:pStyle w:val="a3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C204A4" w:rsidRDefault="00D51D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A4" w:rsidRDefault="00D51D48" w:rsidP="00345F60">
    <w:pPr>
      <w:pStyle w:val="a3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3</w:t>
    </w:r>
    <w:r>
      <w:rPr>
        <w:rStyle w:val="a5"/>
        <w:rtl/>
      </w:rPr>
      <w:fldChar w:fldCharType="end"/>
    </w:r>
  </w:p>
  <w:p w:rsidR="00C204A4" w:rsidRDefault="00D51D4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33CA3"/>
    <w:multiLevelType w:val="singleLevel"/>
    <w:tmpl w:val="CD98EFF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1">
    <w:nsid w:val="7D240EC8"/>
    <w:multiLevelType w:val="hybridMultilevel"/>
    <w:tmpl w:val="374495BE"/>
    <w:lvl w:ilvl="0" w:tplc="6B7E56FA">
      <w:start w:val="1"/>
      <w:numFmt w:val="decimal"/>
      <w:lvlText w:val="%1."/>
      <w:lvlJc w:val="left"/>
      <w:pPr>
        <w:ind w:left="720" w:hanging="360"/>
      </w:pPr>
      <w:rPr>
        <w:rFonts w:cs="Miriam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8D"/>
    <w:rsid w:val="005827C6"/>
    <w:rsid w:val="00B935D1"/>
    <w:rsid w:val="00C1638D"/>
    <w:rsid w:val="00D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6B905-1C67-408B-86B0-92CE7B0A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8D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638D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C1638D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5">
    <w:name w:val="page number"/>
    <w:basedOn w:val="a0"/>
    <w:rsid w:val="00C1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40B5B1A4</Template>
  <TotalTime>2</TotalTime>
  <Pages>4</Pages>
  <Words>895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גרוסמן יונתן</dc:creator>
  <cp:keywords/>
  <dc:description/>
  <cp:lastModifiedBy>גרוסמן יונתן</cp:lastModifiedBy>
  <cp:revision>2</cp:revision>
  <dcterms:created xsi:type="dcterms:W3CDTF">2014-12-17T11:03:00Z</dcterms:created>
  <dcterms:modified xsi:type="dcterms:W3CDTF">2014-12-17T11:05:00Z</dcterms:modified>
</cp:coreProperties>
</file>